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line="360" w:lineRule="auto"/>
        <w:jc w:val="center"/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Приложение № 2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к Положению о порядке организации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и проведения ежегодного городского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смотра-конкурса на лучшую постановку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работы по охране труда в 2015-2017 годах</w:t>
      </w:r>
    </w:p>
    <w:p>
      <w:pPr>
        <w:pStyle w:val="style0"/>
        <w:ind w:firstLine="4395" w:left="0" w:right="0"/>
        <w:jc w:val="right"/>
      </w:pPr>
      <w:r>
        <w:rPr>
          <w:sz w:val="28"/>
          <w:szCs w:val="28"/>
        </w:rPr>
        <w:t xml:space="preserve">среди работодателей Дальнереченского   городского округа,                    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утвержденному постановлением</w:t>
      </w:r>
    </w:p>
    <w:p>
      <w:pPr>
        <w:pStyle w:val="style0"/>
        <w:ind w:hanging="0" w:left="0" w:right="0"/>
        <w:jc w:val="right"/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Дальнереченского         </w:t>
      </w:r>
    </w:p>
    <w:p>
      <w:pPr>
        <w:pStyle w:val="style0"/>
        <w:ind w:hanging="0" w:left="0" w:right="0"/>
        <w:jc w:val="right"/>
      </w:pPr>
      <w:r>
        <w:rPr>
          <w:sz w:val="28"/>
          <w:szCs w:val="28"/>
        </w:rPr>
        <w:t xml:space="preserve">городского округа Приморского края  </w:t>
      </w:r>
    </w:p>
    <w:p>
      <w:pPr>
        <w:pStyle w:val="style0"/>
        <w:spacing w:line="360" w:lineRule="auto"/>
        <w:jc w:val="center"/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10.11.2014 </w:t>
      </w:r>
      <w:r>
        <w:rPr>
          <w:sz w:val="28"/>
          <w:szCs w:val="28"/>
        </w:rPr>
        <w:t xml:space="preserve">года № </w:t>
      </w:r>
      <w:r>
        <w:rPr>
          <w:sz w:val="28"/>
          <w:szCs w:val="28"/>
        </w:rPr>
        <w:t>1490</w:t>
      </w:r>
    </w:p>
    <w:p>
      <w:pPr>
        <w:pStyle w:val="style0"/>
        <w:spacing w:line="360" w:lineRule="auto"/>
        <w:jc w:val="center"/>
      </w:pPr>
      <w:r>
        <w:rPr>
          <w:sz w:val="28"/>
          <w:szCs w:val="28"/>
        </w:rPr>
        <w:t xml:space="preserve">                                                                   </w:t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sz w:val="28"/>
          <w:szCs w:val="28"/>
        </w:rPr>
        <w:t>КРИТЕРИИ ОЦЕНКИ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sz w:val="28"/>
          <w:szCs w:val="28"/>
        </w:rPr>
        <w:t>основных показателей работы по охране труда</w:t>
      </w:r>
    </w:p>
    <w:p>
      <w:pPr>
        <w:pStyle w:val="style0"/>
        <w:jc w:val="center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организации, численность работников которой  превышает 50 человек (в баллах)</w:t>
      </w:r>
    </w:p>
    <w:p>
      <w:pPr>
        <w:pStyle w:val="style0"/>
        <w:jc w:val="center"/>
      </w:pPr>
      <w:r>
        <w:rPr/>
      </w:r>
    </w:p>
    <w:tbl>
      <w:tblPr>
        <w:jc w:val="left"/>
        <w:tblInd w:type="dxa" w:w="98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8"/>
          <w:bottom w:type="dxa" w:w="0"/>
          <w:right w:type="dxa" w:w="108"/>
        </w:tblCellMar>
      </w:tblPr>
      <w:tblGrid>
        <w:gridCol w:w="709"/>
        <w:gridCol w:w="4813"/>
        <w:gridCol w:w="1678"/>
        <w:gridCol w:w="1621"/>
        <w:gridCol w:w="960"/>
      </w:tblGrid>
      <w:tr>
        <w:trPr>
          <w:trHeight w:hRule="atLeast" w:val="255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№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пп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/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Преды-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дущий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Отчет-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ный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/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Балл</w:t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 xml:space="preserve">Наличие Положения (приказа)             о  системе  управления охраной труда </w:t>
            </w:r>
          </w:p>
        </w:tc>
        <w:tc>
          <w:tcPr>
            <w:tcW w:type="dxa" w:w="32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5/0</w:t>
            </w:r>
          </w:p>
        </w:tc>
      </w:tr>
      <w:tr>
        <w:trPr>
          <w:trHeight w:hRule="atLeast" w:val="710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Наличие службы охраны труда или специалиста по охране труда             (в соответствии с нормативом)</w:t>
            </w:r>
          </w:p>
        </w:tc>
        <w:tc>
          <w:tcPr>
            <w:tcW w:type="dxa" w:w="32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5/0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Наличие коллективного договора с разделом «Условия и охрана труда» или соглашения об охране труда</w:t>
            </w:r>
          </w:p>
        </w:tc>
        <w:tc>
          <w:tcPr>
            <w:tcW w:type="dxa" w:w="32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5/0</w:t>
            </w:r>
          </w:p>
        </w:tc>
      </w:tr>
      <w:tr>
        <w:trPr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 xml:space="preserve">Наличие комитета (комиссии) по охране труда  </w:t>
            </w:r>
          </w:p>
        </w:tc>
        <w:tc>
          <w:tcPr>
            <w:tcW w:type="dxa" w:w="32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5/0</w:t>
            </w:r>
          </w:p>
        </w:tc>
      </w:tr>
      <w:tr>
        <w:trPr>
          <w:trHeight w:hRule="atLeast" w:val="1455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Численность  членов    комитета     (комиссии)     по охране       труда,  прошедших  обучение  и проверку   знаний   по   охране   труда     в       обучающих организациях с учетом трехлетней периодичности,  чел.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*</w:t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98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8"/>
          <w:bottom w:type="dxa" w:w="0"/>
          <w:right w:type="dxa" w:w="108"/>
        </w:tblCellMar>
      </w:tblPr>
      <w:tblGrid>
        <w:gridCol w:w="709"/>
        <w:gridCol w:w="4813"/>
        <w:gridCol w:w="1678"/>
        <w:gridCol w:w="1621"/>
        <w:gridCol w:w="960"/>
      </w:tblGrid>
      <w:tr>
        <w:trPr>
          <w:trHeight w:hRule="atLeast" w:val="350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pageBreakBefore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1155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both"/>
            </w:pPr>
            <w:r>
              <w:rPr>
                <w:sz w:val="28"/>
                <w:szCs w:val="28"/>
              </w:rPr>
              <w:t>Удельный вес членов комитета     (комиссии) по охране труда, обученных по охране труда, от       общего количества подлежащих обучению</w:t>
            </w:r>
          </w:p>
          <w:p>
            <w:pPr>
              <w:pStyle w:val="style19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(за отчетный год, с учетом трехлетней периодичности)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***</w:t>
            </w:r>
          </w:p>
        </w:tc>
      </w:tr>
      <w:tr>
        <w:trPr>
          <w:trHeight w:hRule="atLeast" w:val="1065"/>
          <w:cantSplit w:val="true"/>
        </w:trPr>
        <w:tc>
          <w:tcPr>
            <w:tcW w:type="dxa" w:w="70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>
              <w:rPr>
                <w:sz w:val="28"/>
                <w:szCs w:val="28"/>
              </w:rPr>
              <w:t xml:space="preserve"> с учетом трехлетней периодичности</w:t>
            </w:r>
            <w:r>
              <w:rPr>
                <w:rFonts w:eastAsia="MS Mincho"/>
                <w:sz w:val="28"/>
                <w:szCs w:val="28"/>
              </w:rPr>
              <w:t>, чел.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*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1125"/>
          <w:cantSplit w:val="tru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</w:pPr>
            <w:r>
              <w:rPr>
                <w:sz w:val="28"/>
                <w:szCs w:val="28"/>
              </w:rPr>
              <w:t>Удельный вес руководителей и специалистов,     обученных по охране труда, от общего количества подлежащих обучению</w:t>
            </w:r>
          </w:p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(за отчетный год, с учетом трехлетней периодичности)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***</w:t>
            </w:r>
          </w:p>
        </w:tc>
      </w:tr>
      <w:tr>
        <w:trPr>
          <w:trHeight w:hRule="atLeast" w:val="795"/>
          <w:cantSplit w:val="false"/>
        </w:trPr>
        <w:tc>
          <w:tcPr>
            <w:tcW w:type="dxa" w:w="70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*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2252"/>
          <w:cantSplit w:val="fals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</w:pPr>
            <w:r>
              <w:rPr>
                <w:sz w:val="28"/>
                <w:szCs w:val="28"/>
              </w:rPr>
              <w:t xml:space="preserve">Удельный вес работников, прошедших периодические медицинские осмотры,  от общего количества подлежащих прохождению периодического медицинского осмотра  </w:t>
            </w:r>
          </w:p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(за отчетный год)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***</w:t>
            </w:r>
          </w:p>
        </w:tc>
      </w:tr>
      <w:tr>
        <w:trPr>
          <w:trHeight w:hRule="atLeast" w:val="1194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Наличие нормативных правовых актов, содержащих требования охраны труда  в соответствии со спецификой своей деятельности</w:t>
            </w:r>
          </w:p>
        </w:tc>
        <w:tc>
          <w:tcPr>
            <w:tcW w:type="dxa" w:w="32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в полном объеме</w:t>
            </w:r>
          </w:p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частично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3/</w:t>
            </w:r>
            <w:r>
              <w:rPr>
                <w:sz w:val="28"/>
                <w:szCs w:val="28"/>
              </w:rPr>
              <w:t>0</w:t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 xml:space="preserve">Наличие кабинета по охране труда  </w:t>
            </w:r>
          </w:p>
        </w:tc>
        <w:tc>
          <w:tcPr>
            <w:tcW w:type="dxa" w:w="32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10/0</w:t>
            </w:r>
          </w:p>
        </w:tc>
      </w:tr>
      <w:tr>
        <w:trPr>
          <w:trHeight w:hRule="atLeast" w:val="869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 xml:space="preserve">Общее количество несчастных случаев на производстве 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</w:tbl>
    <w:p>
      <w:pPr>
        <w:pStyle w:val="style0"/>
      </w:pPr>
      <w:r>
        <w:rPr/>
      </w:r>
    </w:p>
    <w:tbl>
      <w:tblPr>
        <w:jc w:val="left"/>
        <w:tblInd w:type="dxa" w:w="98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8"/>
          <w:bottom w:type="dxa" w:w="0"/>
          <w:right w:type="dxa" w:w="108"/>
        </w:tblCellMar>
      </w:tblPr>
      <w:tblGrid>
        <w:gridCol w:w="709"/>
        <w:gridCol w:w="4813"/>
        <w:gridCol w:w="1678"/>
        <w:gridCol w:w="1621"/>
        <w:gridCol w:w="960"/>
      </w:tblGrid>
      <w:tr>
        <w:trPr>
          <w:trHeight w:hRule="atLeast" w:val="276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pageBreakBefore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570"/>
          <w:cantSplit w:val="true"/>
        </w:trPr>
        <w:tc>
          <w:tcPr>
            <w:tcW w:type="dxa" w:w="70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 xml:space="preserve">Показатель частоты производственного травматизма в расчете на 1000 работающих - </w:t>
            </w:r>
            <w:r>
              <w:rPr>
                <w:sz w:val="28"/>
                <w:szCs w:val="28"/>
              </w:rPr>
              <w:t xml:space="preserve">Кч 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  <w:lang w:val="en-US"/>
              </w:rPr>
              <w:t>*</w:t>
            </w:r>
          </w:p>
        </w:tc>
      </w:tr>
      <w:tr>
        <w:trPr>
          <w:trHeight w:hRule="atLeast" w:val="570"/>
          <w:cantSplit w:val="tru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>Показатель тяжести производственного травматизма - Кт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  <w:lang w:val="en-US"/>
              </w:rPr>
              <w:t>*</w:t>
            </w:r>
          </w:p>
        </w:tc>
      </w:tr>
      <w:tr>
        <w:trPr>
          <w:trHeight w:hRule="atLeast" w:val="728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>
                <w:rFonts w:eastAsia="MS Mincho"/>
                <w:sz w:val="28"/>
                <w:szCs w:val="28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>
        <w:trPr>
          <w:trHeight w:hRule="atLeast" w:val="1327"/>
          <w:cantSplit w:val="false"/>
        </w:trPr>
        <w:tc>
          <w:tcPr>
            <w:tcW w:type="dxa" w:w="70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</w:pPr>
            <w:r>
              <w:rPr>
                <w:sz w:val="28"/>
                <w:szCs w:val="28"/>
              </w:rPr>
              <w:t xml:space="preserve">Материальные затраты на мероприятия по охране труда, </w:t>
            </w:r>
          </w:p>
          <w:p>
            <w:pPr>
              <w:pStyle w:val="style19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всего (тыс. руб.)  запланировано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  <w:vAlign w:val="bottom"/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  <w:lang w:val="en-US"/>
              </w:rPr>
              <w:t>10/0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фактически использовано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</w:t>
            </w:r>
          </w:p>
        </w:tc>
      </w:tr>
      <w:tr>
        <w:trPr>
          <w:trHeight w:hRule="atLeast" w:val="330"/>
          <w:cantSplit w:val="fals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  <w:vAlign w:val="cente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в т.ч. на одного работника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</w:t>
            </w:r>
          </w:p>
        </w:tc>
      </w:tr>
      <w:tr>
        <w:trPr>
          <w:trHeight w:hRule="atLeast" w:val="990"/>
          <w:cantSplit w:val="false"/>
        </w:trPr>
        <w:tc>
          <w:tcPr>
            <w:tcW w:type="dxa" w:w="70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Количество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периодичности), всего рабочих мест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*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1786"/>
          <w:cantSplit w:val="fals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Удельный вес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периодичности, за отчетный год)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***</w:t>
            </w:r>
          </w:p>
        </w:tc>
      </w:tr>
      <w:tr>
        <w:trPr>
          <w:trHeight w:hRule="atLeast" w:val="1845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200" w:before="0"/>
              <w:contextualSpacing w:val="false"/>
            </w:pPr>
            <w:r>
              <w:rPr>
                <w:rFonts w:eastAsia="MS Mincho"/>
                <w:sz w:val="28"/>
                <w:szCs w:val="28"/>
              </w:rPr>
              <w:t>Списочная численность работников, занятых на рабочих местах с условиями труда,  не соответствующими государственным нормативным требованиям охраны труда, чел.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>Списочная численность работников, получающих компенсации за работу во вредных и (или) опасных условиях труда на рабочем месте, чел.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>
        <w:trPr>
          <w:trHeight w:hRule="atLeast" w:val="273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Участие в смотрах-конкурсах муниципального образования на лучшую постановку работы по охране труда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5/0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7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7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type="dxa" w:w="16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cantSplit w:val="false"/>
        </w:trPr>
        <w:tc>
          <w:tcPr>
            <w:tcW w:type="dxa" w:w="7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type="dxa" w:w="47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>
                <w:rFonts w:eastAsia="MS Mincho"/>
                <w:sz w:val="28"/>
                <w:szCs w:val="28"/>
              </w:rP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type="dxa" w:w="16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6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9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15/0</w:t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7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type="dxa" w:w="47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За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заболеваний: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получение скидки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получение надбавки</w:t>
            </w:r>
          </w:p>
        </w:tc>
        <w:tc>
          <w:tcPr>
            <w:tcW w:type="dxa" w:w="16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6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9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15/0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-15/0</w:t>
            </w:r>
          </w:p>
        </w:tc>
      </w:tr>
    </w:tbl>
    <w:p>
      <w:pPr>
        <w:pStyle w:val="style19"/>
      </w:pPr>
      <w:r>
        <w:rPr/>
      </w:r>
    </w:p>
    <w:p>
      <w:pPr>
        <w:pStyle w:val="style19"/>
        <w:ind w:firstLine="720" w:left="0" w:right="0"/>
        <w:jc w:val="both"/>
      </w:pPr>
      <w:r>
        <w:rPr/>
      </w:r>
    </w:p>
    <w:p>
      <w:pPr>
        <w:pStyle w:val="style0"/>
        <w:widowControl w:val="false"/>
        <w:ind w:firstLine="540" w:left="0" w:right="0"/>
        <w:jc w:val="center"/>
      </w:pPr>
      <w:r>
        <w:rPr>
          <w:b/>
          <w:sz w:val="28"/>
          <w:szCs w:val="28"/>
        </w:rPr>
        <w:t>Дополнительные баллы</w:t>
      </w:r>
    </w:p>
    <w:p>
      <w:pPr>
        <w:pStyle w:val="style0"/>
        <w:widowControl w:val="false"/>
        <w:ind w:firstLine="540" w:left="0" w:right="0"/>
        <w:jc w:val="both"/>
      </w:pPr>
      <w:r>
        <w:rPr/>
      </w:r>
    </w:p>
    <w:tbl>
      <w:tblPr>
        <w:jc w:val="left"/>
        <w:tblInd w:type="dxa" w:w="98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8"/>
          <w:bottom w:type="dxa" w:w="0"/>
          <w:right w:type="dxa" w:w="108"/>
        </w:tblCellMar>
      </w:tblPr>
      <w:tblGrid>
        <w:gridCol w:w="709"/>
        <w:gridCol w:w="4813"/>
        <w:gridCol w:w="1678"/>
        <w:gridCol w:w="1621"/>
        <w:gridCol w:w="960"/>
      </w:tblGrid>
      <w:tr>
        <w:trPr>
          <w:trHeight w:hRule="atLeast" w:val="255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№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пп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/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Преды-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дущий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Отчет-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ный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/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Балл</w:t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646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Внедрение передового опыта</w:t>
            </w:r>
            <w:r>
              <w:rPr>
                <w:rFonts w:eastAsia="MS Mincho"/>
                <w:sz w:val="28"/>
                <w:szCs w:val="28"/>
              </w:rPr>
              <w:t xml:space="preserve"> (новых технологий</w:t>
            </w:r>
            <w:r>
              <w:rPr>
                <w:sz w:val="28"/>
                <w:szCs w:val="28"/>
              </w:rPr>
              <w:t xml:space="preserve"> и новой техники)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*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811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>Наличие уголков  и тренажеров по охране труда</w:t>
            </w:r>
          </w:p>
        </w:tc>
        <w:tc>
          <w:tcPr>
            <w:tcW w:type="dxa" w:w="32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5/0</w:t>
            </w:r>
          </w:p>
        </w:tc>
      </w:tr>
      <w:tr>
        <w:trPr>
          <w:trHeight w:hRule="atLeast" w:val="811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  <w:vAlign w:val="bottom"/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 xml:space="preserve">Обеспеченность рабочих мест специалистов по охране труда постоянным доступом к электронным правовым справочным системам типа «Консультант Плюс», «Гарант» и др. </w:t>
            </w:r>
          </w:p>
        </w:tc>
        <w:tc>
          <w:tcPr>
            <w:tcW w:type="dxa" w:w="32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5/0</w:t>
            </w:r>
          </w:p>
        </w:tc>
      </w:tr>
      <w:tr>
        <w:trPr>
          <w:trHeight w:hRule="atLeast" w:val="1024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rFonts w:eastAsia="MS Mincho"/>
                <w:sz w:val="28"/>
                <w:szCs w:val="28"/>
              </w:rPr>
              <w:t>Сокращено рабочих мест с вредными и опасными условиями труда за счет исключения воздействия вредных и опасных факторов, внедрения в производство новых технологий и технических средств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>
        <w:trPr>
          <w:trHeight w:hRule="atLeast" w:val="308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>Показатель нетрудоспособности, равный Кч * Кт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</w:tbl>
    <w:p>
      <w:pPr>
        <w:pStyle w:val="style19"/>
        <w:ind w:firstLine="720" w:left="0" w:right="0"/>
        <w:jc w:val="both"/>
      </w:pPr>
      <w:r>
        <w:rPr/>
      </w:r>
    </w:p>
    <w:p>
      <w:pPr>
        <w:pStyle w:val="style19"/>
        <w:ind w:firstLine="720" w:left="0" w:right="0"/>
        <w:jc w:val="both"/>
      </w:pPr>
      <w:r>
        <w:rPr/>
      </w:r>
    </w:p>
    <w:p>
      <w:pPr>
        <w:pStyle w:val="style19"/>
        <w:spacing w:line="360" w:lineRule="auto"/>
        <w:ind w:firstLine="720" w:left="0" w:right="0"/>
        <w:jc w:val="both"/>
      </w:pPr>
      <w:r>
        <w:rPr>
          <w:sz w:val="28"/>
          <w:szCs w:val="28"/>
        </w:rPr>
        <w:t>* При выполнении мероприятий, если показатель отчетного года выше показателя предыдущего года, общая оценка увеличивается на 10 баллов, если показатель отчетного года равен показателю предыдущего года, общая оценка увеличивается на 5 баллов, если показатель отчетного года ниже показателя предыдущего года, общая оценка не изменяется (0 баллов), если показатели отчетного и предыдущего года равны нулю – общая оценка уменьшается на 5 баллов.</w:t>
      </w:r>
    </w:p>
    <w:p>
      <w:pPr>
        <w:pStyle w:val="style19"/>
        <w:spacing w:line="360" w:lineRule="auto"/>
        <w:ind w:firstLine="720" w:left="0" w:right="0"/>
        <w:jc w:val="both"/>
      </w:pPr>
      <w:r>
        <w:rPr>
          <w:sz w:val="28"/>
          <w:szCs w:val="28"/>
        </w:rPr>
        <w:t>** Если показатели отчетного и предыдущего года  равны нулю, общая оценка увеличивается  на 10 баллов, если показатель отчетного года выше показателя предыдущего года, общая оценка уменьшается на 5 баллов, если показатель отчетного года ниже показателя предыдущего года, общая оценка увеличивается  на 5 баллов, если показатели отчетного и предыдущего года  равны  – общая оценка не изменяется (0 баллов).</w:t>
      </w:r>
    </w:p>
    <w:p>
      <w:pPr>
        <w:pStyle w:val="style19"/>
        <w:ind w:firstLine="720" w:left="0" w:right="0"/>
        <w:jc w:val="both"/>
      </w:pPr>
      <w:r>
        <w:rPr>
          <w:sz w:val="28"/>
          <w:szCs w:val="28"/>
        </w:rPr>
        <w:t>*** Если показатель отчетного года составляет:</w:t>
      </w:r>
    </w:p>
    <w:p>
      <w:pPr>
        <w:pStyle w:val="style19"/>
        <w:jc w:val="both"/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менее  55 %              балльная оценка  –  -5;</w:t>
      </w:r>
    </w:p>
    <w:p>
      <w:pPr>
        <w:pStyle w:val="style19"/>
        <w:jc w:val="both"/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от  55 %  до  70 %    балльная оценка  –   5;</w:t>
      </w:r>
    </w:p>
    <w:p>
      <w:pPr>
        <w:pStyle w:val="style19"/>
        <w:jc w:val="both"/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от  70 %  до  85 %    балльная оценка  –  10;</w:t>
      </w:r>
    </w:p>
    <w:p>
      <w:pPr>
        <w:pStyle w:val="style19"/>
        <w:jc w:val="both"/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от  85 %  до  100 %  балльная оценка  –  15.</w:t>
      </w:r>
    </w:p>
    <w:p>
      <w:pPr>
        <w:pStyle w:val="style19"/>
        <w:ind w:firstLine="720" w:left="0" w:right="0"/>
        <w:jc w:val="both"/>
      </w:pPr>
      <w:r>
        <w:rPr/>
      </w:r>
    </w:p>
    <w:p>
      <w:pPr>
        <w:pStyle w:val="style0"/>
        <w:spacing w:line="360" w:lineRule="auto"/>
        <w:ind w:firstLine="708" w:left="0" w:right="0"/>
        <w:jc w:val="both"/>
      </w:pPr>
      <w:r>
        <w:rPr>
          <w:rFonts w:eastAsia="MS Mincho"/>
          <w:b/>
          <w:sz w:val="28"/>
          <w:szCs w:val="28"/>
        </w:rPr>
        <w:t xml:space="preserve">Показатель частоты производственного травматизма </w:t>
      </w:r>
      <w:r>
        <w:rPr>
          <w:b/>
          <w:sz w:val="28"/>
          <w:szCs w:val="28"/>
        </w:rPr>
        <w:t xml:space="preserve"> (Кч)  - </w:t>
      </w:r>
      <w:r>
        <w:rPr>
          <w:sz w:val="28"/>
          <w:szCs w:val="28"/>
        </w:rPr>
        <w:t>количество несчастных случаев, приходящихся в среднем на 1000 работающих.</w:t>
      </w:r>
    </w:p>
    <w:p>
      <w:pPr>
        <w:pStyle w:val="style0"/>
        <w:spacing w:line="360" w:lineRule="auto"/>
        <w:jc w:val="both"/>
      </w:pPr>
      <w:r>
        <w:rPr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>Показатель тяжести производственного травматизма</w:t>
      </w:r>
      <w:r>
        <w:rPr>
          <w:rFonts w:eastAsia="MS Mincho"/>
          <w:sz w:val="28"/>
          <w:szCs w:val="28"/>
        </w:rPr>
        <w:t xml:space="preserve"> (Кт)  - </w:t>
      </w:r>
      <w:r>
        <w:rPr>
          <w:sz w:val="28"/>
          <w:szCs w:val="28"/>
        </w:rPr>
        <w:t>среднее количество дней нетрудоспособности, приходящихся на один несчастный случай.</w:t>
      </w:r>
    </w:p>
    <w:p>
      <w:pPr>
        <w:pStyle w:val="style19"/>
        <w:spacing w:after="120" w:before="0" w:line="360" w:lineRule="auto"/>
        <w:ind w:firstLine="720" w:left="0" w:right="0"/>
        <w:contextualSpacing w:val="false"/>
        <w:jc w:val="both"/>
      </w:pPr>
      <w:r>
        <w:rPr/>
      </w:r>
    </w:p>
    <w:sectPr>
      <w:headerReference r:id="rId2" w:type="default"/>
      <w:type w:val="nextPage"/>
      <w:pgSz w:h="16838" w:w="11906"/>
      <w:pgMar w:bottom="1134" w:footer="0" w:gutter="0" w:header="709" w:left="1418" w:right="851" w:top="1134"/>
      <w:pgNumType w:fmt="decimal"/>
      <w:formProt w:val="false"/>
      <w:titlePg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</w:p>
  <w:p>
    <w:pPr>
      <w:pStyle w:val="style0"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</w:p>
</w:hdr>
</file>

<file path=word/settings.xml><?xml version="1.0" encoding="utf-8"?>
<w:settings xmlns:w="http://schemas.openxmlformats.org/wordprocessingml/2006/main">
  <w:zoom w:percent="9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00000A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page number"/>
    <w:basedOn w:val="style15"/>
    <w:next w:val="style16"/>
    <w:rPr/>
  </w:style>
  <w:style w:styleId="style17" w:type="character">
    <w:name w:val="Основной текст Знак"/>
    <w:next w:val="style17"/>
    <w:rPr>
      <w:sz w:val="24"/>
      <w:szCs w:val="24"/>
    </w:rPr>
  </w:style>
  <w:style w:styleId="style18" w:type="paragraph">
    <w:name w:val="Заголовок"/>
    <w:basedOn w:val="style0"/>
    <w:next w:val="style19"/>
    <w:pPr>
      <w:keepNext/>
      <w:spacing w:after="120" w:before="240"/>
      <w:contextualSpacing w:val="false"/>
    </w:pPr>
    <w:rPr>
      <w:rFonts w:ascii="Arial" w:cs="unifont" w:eastAsia="Droid Sans Fallback" w:hAnsi="Arial"/>
      <w:sz w:val="28"/>
      <w:szCs w:val="28"/>
    </w:rPr>
  </w:style>
  <w:style w:styleId="style19" w:type="paragraph">
    <w:name w:val="Основной текст"/>
    <w:basedOn w:val="style0"/>
    <w:next w:val="style19"/>
    <w:pPr>
      <w:spacing w:after="120" w:before="0"/>
      <w:contextualSpacing w:val="false"/>
    </w:pPr>
    <w:rPr/>
  </w:style>
  <w:style w:styleId="style20" w:type="paragraph">
    <w:name w:val="Список"/>
    <w:basedOn w:val="style19"/>
    <w:next w:val="style20"/>
    <w:pPr/>
    <w:rPr>
      <w:rFonts w:cs="unifont"/>
    </w:rPr>
  </w:style>
  <w:style w:styleId="style21" w:type="paragraph">
    <w:name w:val="Название"/>
    <w:basedOn w:val="style0"/>
    <w:next w:val="style21"/>
    <w:pPr>
      <w:suppressLineNumbers/>
      <w:spacing w:after="120" w:before="120"/>
      <w:contextualSpacing w:val="false"/>
    </w:pPr>
    <w:rPr>
      <w:rFonts w:cs="unifont"/>
      <w:i/>
      <w:iCs/>
      <w:sz w:val="24"/>
      <w:szCs w:val="24"/>
    </w:rPr>
  </w:style>
  <w:style w:styleId="style22" w:type="paragraph">
    <w:name w:val="Указатель"/>
    <w:basedOn w:val="style0"/>
    <w:next w:val="style22"/>
    <w:pPr>
      <w:suppressLineNumbers/>
    </w:pPr>
    <w:rPr>
      <w:rFonts w:cs="unifont"/>
    </w:rPr>
  </w:style>
  <w:style w:styleId="style23" w:type="paragraph">
    <w:name w:val="Верхний колонтитул"/>
    <w:basedOn w:val="style0"/>
    <w:next w:val="style23"/>
    <w:pPr>
      <w:tabs>
        <w:tab w:leader="none" w:pos="4677" w:val="center"/>
        <w:tab w:leader="none" w:pos="9355" w:val="right"/>
      </w:tabs>
    </w:pPr>
    <w:rPr/>
  </w:style>
  <w:style w:styleId="style24" w:type="paragraph">
    <w:name w:val="Содержимое врезки"/>
    <w:basedOn w:val="style19"/>
    <w:next w:val="style24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2014-10-20T05:57:00.00Z</dcterms:created>
  <dc:creator>APKUser</dc:creator>
  <cp:lastModifiedBy>Antonova_TE</cp:lastModifiedBy>
  <cp:lastPrinted>2014-11-06T16:09:25.00Z</cp:lastPrinted>
  <dcterms:modified xsi:type="dcterms:W3CDTF">2014-10-23T06:00:00.00Z</dcterms:modified>
  <cp:revision>5</cp:revision>
  <dc:title>Приложение № 1</dc:title>
</cp:coreProperties>
</file>