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AA" w:rsidRDefault="009F4FAA" w:rsidP="009F4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9F4FAA" w:rsidRPr="0060794E" w:rsidRDefault="009F4FAA" w:rsidP="009F4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079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Пояснительная записка к Прогнозу</w:t>
      </w:r>
      <w:r w:rsidR="008A60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79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социально-экономического развития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Дальнереченского городского округа </w:t>
      </w:r>
    </w:p>
    <w:p w:rsidR="009F4FAA" w:rsidRPr="0060794E" w:rsidRDefault="009F4FAA" w:rsidP="009F4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079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2025 год и плановый период</w:t>
      </w:r>
      <w:r w:rsidR="008A60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до 2027 года</w:t>
      </w:r>
    </w:p>
    <w:p w:rsidR="009F4FAA" w:rsidRPr="00126D68" w:rsidRDefault="009F4FAA" w:rsidP="009F4F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0828" w:rsidRDefault="006D0828" w:rsidP="00941D66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D08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Основные показатели прогноза социально-экономического развития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Дальнереченского городского округа</w:t>
      </w:r>
      <w:r w:rsidRPr="006D08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план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овый период с 2025 по 2027 годы разработан</w:t>
      </w:r>
      <w:r w:rsidR="008E6B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соответствии с Бюджетным Кодексом Российской Федерации</w:t>
      </w:r>
      <w:r w:rsidR="00941D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Распоряжением Правительства Приморского края от 07.08.2024 №546-рп «Об утверждении прогноза социально-экономического развития Приморского края на 2025 год и плановый период до 2027 года».</w:t>
      </w:r>
    </w:p>
    <w:p w:rsidR="00941D66" w:rsidRDefault="00941D66" w:rsidP="00941D66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 подготовке основных параметров прогноза были использованы данные государственной и ведомственной статистики, о</w:t>
      </w:r>
      <w:r w:rsidRPr="00941D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тделени</w:t>
      </w:r>
      <w:r w:rsidR="000C63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941D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КГКУ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«ПЦЗН»</w:t>
      </w:r>
      <w:r w:rsidRPr="00941D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г. Дальнереченск</w:t>
      </w:r>
      <w:r w:rsidR="000C63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данные предприятий и учреждений города, структурных подразделений администрации Дальнереченского городского округа</w:t>
      </w:r>
      <w:r w:rsidR="006435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41D66" w:rsidRDefault="0030496D" w:rsidP="0030496D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049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прогнозе учтены итоги социально-экономического развития Дальнереченского городского округа за 9 месяцев 2024 года. Прогноз разработан в двух вариантах – вариант 1- консервативный, вариант 2- базовый. </w:t>
      </w:r>
    </w:p>
    <w:p w:rsidR="00A84460" w:rsidRDefault="00A84460" w:rsidP="0030496D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496D" w:rsidRDefault="0030496D" w:rsidP="00DC0E31">
      <w:pPr>
        <w:spacing w:line="276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0496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Общая оценка экономической ситуации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Дальнереченского городского округа</w:t>
      </w:r>
    </w:p>
    <w:p w:rsidR="00A84460" w:rsidRDefault="00A84460" w:rsidP="00DC0E31">
      <w:pPr>
        <w:spacing w:line="276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21F94" w:rsidRPr="00521F94" w:rsidRDefault="00521F94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состоянию на 01.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09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.2024</w:t>
      </w:r>
      <w:r w:rsidR="001D54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Статистическом регистре 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хозяйствующих субъектов по Дальнереченскому городскому округу учтено 38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предприятий и организаций всех видов экономической деятельности.</w:t>
      </w:r>
    </w:p>
    <w:p w:rsidR="00521F94" w:rsidRPr="00521F94" w:rsidRDefault="00521F94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Наибольшее количество субъектов по видам экономической деятельности представлено в сфере потребительского рынка.</w:t>
      </w:r>
    </w:p>
    <w:p w:rsidR="00521F94" w:rsidRPr="00521F94" w:rsidRDefault="00521F94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качестве индивидуальных предпринимателей числится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682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а,</w:t>
      </w:r>
    </w:p>
    <w:p w:rsidR="00742F66" w:rsidRDefault="00521F94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 состоянию на 01.0</w:t>
      </w:r>
      <w:r w:rsidR="00084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8E6B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.2024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Дальнереченском городском округе количество </w:t>
      </w:r>
      <w:r w:rsid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предприятий и организаций и 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субъектов малого и среднего предпринимательства</w:t>
      </w:r>
      <w:r w:rsid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включая микропредприятия</w:t>
      </w:r>
      <w:r w:rsidR="008220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составило </w:t>
      </w:r>
      <w:r w:rsid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1065</w:t>
      </w:r>
      <w:r w:rsidR="008E6B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21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единиц, </w:t>
      </w:r>
    </w:p>
    <w:p w:rsidR="00521F94" w:rsidRDefault="00742F66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Также на территории Дальнереченского городского округа осуществляют деятельность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</w:t>
      </w:r>
      <w:r w:rsidR="00521F94" w:rsidRPr="00521F94">
        <w:rPr>
          <w:rFonts w:ascii="Times New Roman" w:eastAsia="Times New Roman" w:hAnsi="Times New Roman"/>
          <w:iCs/>
          <w:sz w:val="28"/>
          <w:szCs w:val="28"/>
          <w:lang w:eastAsia="ru-RU"/>
        </w:rPr>
        <w:t>изические лица и индивидуальные предприниматели, перешедшие на специальный</w:t>
      </w:r>
      <w:r w:rsidR="008220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налоговый режим (самозанятые) </w:t>
      </w:r>
      <w:r w:rsidR="00521F94" w:rsidRPr="00521F94">
        <w:rPr>
          <w:rFonts w:ascii="Times New Roman" w:eastAsia="Times New Roman" w:hAnsi="Times New Roman"/>
          <w:iCs/>
          <w:sz w:val="28"/>
          <w:szCs w:val="28"/>
          <w:lang w:eastAsia="ru-RU"/>
        </w:rPr>
        <w:t>1254 ед</w:t>
      </w:r>
      <w:r w:rsidR="008E6BD2">
        <w:rPr>
          <w:rFonts w:ascii="Times New Roman" w:eastAsia="Times New Roman" w:hAnsi="Times New Roman"/>
          <w:iCs/>
          <w:sz w:val="28"/>
          <w:szCs w:val="28"/>
          <w:lang w:eastAsia="ru-RU"/>
        </w:rPr>
        <w:t>иницы</w:t>
      </w:r>
      <w:r w:rsidR="00521F94" w:rsidRPr="00521F9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</w:p>
    <w:p w:rsidR="00DC0E31" w:rsidRDefault="00DC0E31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Основные </w:t>
      </w:r>
      <w:r w:rsidR="00950C81">
        <w:rPr>
          <w:rFonts w:ascii="Times New Roman" w:eastAsia="Times New Roman" w:hAnsi="Times New Roman"/>
          <w:iCs/>
          <w:sz w:val="28"/>
          <w:szCs w:val="28"/>
          <w:lang w:eastAsia="ru-RU"/>
        </w:rPr>
        <w:t>отрасли экономики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5214"/>
        <w:gridCol w:w="3486"/>
      </w:tblGrid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5214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Организационно-правовая форма, наименование</w:t>
            </w:r>
          </w:p>
        </w:tc>
        <w:tc>
          <w:tcPr>
            <w:tcW w:w="348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Вид деятельности</w:t>
            </w:r>
          </w:p>
        </w:tc>
      </w:tr>
      <w:tr w:rsidR="00A83363" w:rsidRPr="00F574E3" w:rsidTr="0023191A">
        <w:trPr>
          <w:trHeight w:val="587"/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4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Закрытое акционерное общество «Лес Экспорт»</w:t>
            </w:r>
          </w:p>
        </w:tc>
        <w:tc>
          <w:tcPr>
            <w:tcW w:w="3486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Лесопереработка Деревообработка</w:t>
            </w:r>
          </w:p>
        </w:tc>
      </w:tr>
      <w:tr w:rsidR="00A83363" w:rsidRPr="00F574E3" w:rsidTr="00A83363">
        <w:trPr>
          <w:trHeight w:val="627"/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4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филиал ООО «Транснефть-Дальний Восток» - РНУ «Дальнереченск»</w:t>
            </w:r>
          </w:p>
        </w:tc>
        <w:tc>
          <w:tcPr>
            <w:tcW w:w="3486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Нефтепровод</w:t>
            </w:r>
          </w:p>
        </w:tc>
      </w:tr>
      <w:tr w:rsidR="00A83363" w:rsidRPr="00F574E3" w:rsidTr="0023191A">
        <w:trPr>
          <w:trHeight w:val="1943"/>
          <w:jc w:val="center"/>
        </w:trPr>
        <w:tc>
          <w:tcPr>
            <w:tcW w:w="656" w:type="dxa"/>
          </w:tcPr>
          <w:p w:rsidR="00A83363" w:rsidRPr="00A83363" w:rsidRDefault="00A83363" w:rsidP="00231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4" w:type="dxa"/>
          </w:tcPr>
          <w:p w:rsidR="0023191A" w:rsidRDefault="00A83363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Общество с ограниченной ответственностью «Жемчужина Приморья»</w:t>
            </w:r>
            <w:r w:rsidR="0023191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:rsidR="0023191A" w:rsidRPr="00A83363" w:rsidRDefault="0023191A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Цех по розливу безалкогольной продукции ООО «Жемчужина Приморья»</w:t>
            </w:r>
          </w:p>
        </w:tc>
        <w:tc>
          <w:tcPr>
            <w:tcW w:w="3486" w:type="dxa"/>
          </w:tcPr>
          <w:p w:rsidR="0023191A" w:rsidRDefault="00A83363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Производство воды</w:t>
            </w:r>
            <w:r w:rsidR="0023191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.</w:t>
            </w:r>
          </w:p>
          <w:p w:rsidR="0023191A" w:rsidRDefault="0023191A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23191A" w:rsidRDefault="0023191A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A83363" w:rsidRPr="00A83363" w:rsidRDefault="0023191A" w:rsidP="00231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Производство и розлив безалкогольных напитков</w:t>
            </w:r>
          </w:p>
        </w:tc>
      </w:tr>
      <w:tr w:rsidR="00A83363" w:rsidRPr="00F574E3" w:rsidTr="00A83363">
        <w:trPr>
          <w:trHeight w:val="1364"/>
          <w:jc w:val="center"/>
        </w:trPr>
        <w:tc>
          <w:tcPr>
            <w:tcW w:w="656" w:type="dxa"/>
          </w:tcPr>
          <w:p w:rsidR="00A83363" w:rsidRPr="00A83363" w:rsidRDefault="00A83363" w:rsidP="00231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4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Дальнерченский тепловой район 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Лесозаводского </w:t>
            </w: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филиала Краевое государственное унитарное предприятие  «Примтеплоэнерго»</w:t>
            </w:r>
          </w:p>
        </w:tc>
        <w:tc>
          <w:tcPr>
            <w:tcW w:w="3486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Производство теплоэнергии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4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Общество с ограниченной ответственностью «Пекарь и К»</w:t>
            </w:r>
          </w:p>
        </w:tc>
        <w:tc>
          <w:tcPr>
            <w:tcW w:w="3486" w:type="dxa"/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Производство хлебобулочных изделий</w:t>
            </w:r>
            <w:r w:rsidR="0023191A"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и кондитерских изделий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Общество с ограниченной ответственностью «ВИФ»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Аптечная деятельность, медицинские услуги, услуги фитобара, ветеринарные услуги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Индивидуальный предприниматель Лукьянова Е.Ю Аптека «Семейная»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Аптечная деятельность. 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Индивидуальный предприниматель Юхневич Г.С.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Розничная торговля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Кулешов Д.А.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Оптовая и розничная </w:t>
            </w: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>торговля</w:t>
            </w:r>
          </w:p>
        </w:tc>
      </w:tr>
      <w:tr w:rsidR="00A83363" w:rsidRPr="00F574E3" w:rsidTr="00A83363">
        <w:trPr>
          <w:trHeight w:val="871"/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Индивидуальный предприниматель Вертков Д.А.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Торговля стройматериалами, канцтоварами</w:t>
            </w:r>
          </w:p>
        </w:tc>
      </w:tr>
      <w:tr w:rsidR="00A83363" w:rsidRPr="00F574E3" w:rsidTr="002B3C5F">
        <w:trPr>
          <w:trHeight w:val="556"/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Индивидуальный предприниматель Елистратов Ю.Ю.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Оптовая и розничная торговля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Индивидуальный предприниматель Чиркова С.В.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Розничная торговля и о/питание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A83363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Общество с ограниченной ответственностью «Пышка»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Хлебобулочные изделия</w:t>
            </w:r>
          </w:p>
        </w:tc>
      </w:tr>
      <w:tr w:rsidR="00A83363" w:rsidRPr="00F574E3" w:rsidTr="00A83363">
        <w:trPr>
          <w:jc w:val="center"/>
        </w:trPr>
        <w:tc>
          <w:tcPr>
            <w:tcW w:w="656" w:type="dxa"/>
          </w:tcPr>
          <w:p w:rsidR="00A83363" w:rsidRPr="00A83363" w:rsidRDefault="00A83363" w:rsidP="0023191A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23191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Цех по розливу безалкогольной продукции «Долина «Уссури»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63" w:rsidRPr="00A83363" w:rsidRDefault="00A83363" w:rsidP="00A83363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A8336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Производство и розлив безалкогольных напитков</w:t>
            </w:r>
          </w:p>
        </w:tc>
      </w:tr>
    </w:tbl>
    <w:p w:rsidR="00DC0E31" w:rsidRDefault="00DC0E31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50C81" w:rsidRDefault="008E6BD2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 w:rsidRPr="008E6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50C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«Объем отгруженных товаров собственного производства, выполненных работ и услуг собственными силами» за 2023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год составил </w:t>
      </w:r>
      <w:r w:rsidR="000E48C9">
        <w:rPr>
          <w:rFonts w:ascii="Times New Roman" w:eastAsia="Times New Roman" w:hAnsi="Times New Roman"/>
          <w:iCs/>
          <w:sz w:val="28"/>
          <w:szCs w:val="28"/>
          <w:lang w:eastAsia="ru-RU"/>
        </w:rPr>
        <w:t>797,0 млн. руб. (</w:t>
      </w:r>
      <w:r w:rsidR="00950C81">
        <w:rPr>
          <w:rFonts w:ascii="Times New Roman" w:eastAsia="Times New Roman" w:hAnsi="Times New Roman"/>
          <w:iCs/>
          <w:sz w:val="28"/>
          <w:szCs w:val="28"/>
          <w:lang w:eastAsia="ru-RU"/>
        </w:rPr>
        <w:t>116,3% к январю –декабрю 2022 года</w:t>
      </w:r>
      <w:r w:rsidR="000E48C9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950C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</w:p>
    <w:p w:rsidR="00950C81" w:rsidRDefault="008E6BD2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50C81">
        <w:rPr>
          <w:rFonts w:ascii="Times New Roman" w:eastAsia="Times New Roman" w:hAnsi="Times New Roman"/>
          <w:iCs/>
          <w:sz w:val="28"/>
          <w:szCs w:val="28"/>
          <w:lang w:eastAsia="ru-RU"/>
        </w:rPr>
        <w:t>«Обрабатывающее производство» за 2023 год состави</w:t>
      </w:r>
      <w:r w:rsidR="000E48C9">
        <w:rPr>
          <w:rFonts w:ascii="Times New Roman" w:eastAsia="Times New Roman" w:hAnsi="Times New Roman"/>
          <w:iCs/>
          <w:sz w:val="28"/>
          <w:szCs w:val="28"/>
          <w:lang w:eastAsia="ru-RU"/>
        </w:rPr>
        <w:t>л 506,5 млн. руб.(83,1 % к январю –декабрю 2022 года).</w:t>
      </w:r>
    </w:p>
    <w:p w:rsidR="00742F66" w:rsidRDefault="008E6BD2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E48C9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="008A0BF6">
        <w:rPr>
          <w:rFonts w:ascii="Times New Roman" w:eastAsia="Times New Roman" w:hAnsi="Times New Roman"/>
          <w:iCs/>
          <w:sz w:val="28"/>
          <w:szCs w:val="28"/>
          <w:lang w:eastAsia="ru-RU"/>
        </w:rPr>
        <w:t>Продукция сельского хо</w:t>
      </w:r>
      <w:r w:rsid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>зяйства» за 2023 год составил 354,15 млн. руб. (121% к январю-декабрю 2022 года).</w:t>
      </w:r>
    </w:p>
    <w:p w:rsidR="007C655F" w:rsidRDefault="008E6BD2" w:rsidP="007C655F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>«Ввод в действие жилых домов» за 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023 год составил 3,56 тыс.кв.м</w:t>
      </w:r>
      <w:r w:rsid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(127% к январю-декабрю 2022 года).</w:t>
      </w:r>
    </w:p>
    <w:p w:rsidR="007C655F" w:rsidRDefault="008E6BD2" w:rsidP="007C655F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>«Оборот розничной торговли»</w:t>
      </w:r>
      <w:r w:rsidR="007C655F" w:rsidRP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2023 год составил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1363,30</w:t>
      </w:r>
      <w:r w:rsidR="007C655F" w:rsidRP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млн. руб. (</w:t>
      </w:r>
      <w:r w:rsid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2,4р</w:t>
      </w:r>
      <w:r w:rsidR="007C655F" w:rsidRPr="007C65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 январю-декабрю 2022 года).</w:t>
      </w:r>
    </w:p>
    <w:p w:rsidR="002D5DC2" w:rsidRPr="002D5DC2" w:rsidRDefault="008E6BD2" w:rsidP="002D5DC2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«Объём платных услуг населению»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2023 год составил </w:t>
      </w:r>
      <w:r w:rsid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105,2</w:t>
      </w:r>
      <w:r w:rsidR="002D5DC2" w:rsidRP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млн. руб. (</w:t>
      </w:r>
      <w:r w:rsid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103.9</w:t>
      </w:r>
      <w:r w:rsidR="002D5DC2" w:rsidRPr="002D5DC2">
        <w:rPr>
          <w:rFonts w:ascii="Times New Roman" w:eastAsia="Times New Roman" w:hAnsi="Times New Roman"/>
          <w:iCs/>
          <w:sz w:val="28"/>
          <w:szCs w:val="28"/>
          <w:lang w:eastAsia="ru-RU"/>
        </w:rPr>
        <w:t>% к январю-декабрю 2022 года).</w:t>
      </w:r>
    </w:p>
    <w:p w:rsidR="007248FE" w:rsidRDefault="008E6BD2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«Количество малых и средних предприятий, включая микропредприятий (на </w:t>
      </w:r>
      <w:r w:rsidR="007F2B25">
        <w:rPr>
          <w:rFonts w:ascii="Times New Roman" w:eastAsia="Times New Roman" w:hAnsi="Times New Roman"/>
          <w:iCs/>
          <w:sz w:val="28"/>
          <w:szCs w:val="28"/>
          <w:lang w:eastAsia="ru-RU"/>
        </w:rPr>
        <w:t>конец года) за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2023 год составил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844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единиц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ы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осталось на прежнем уровне по сравнению с 2022 годом.)</w:t>
      </w:r>
    </w:p>
    <w:p w:rsidR="007248FE" w:rsidRPr="007248FE" w:rsidRDefault="008E6BD2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 w:rsidRPr="008E6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«Инвестиций в основной капитал»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2023 год составил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2949,13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млн. руб. (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3р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 январю-декабрю 2022 года).</w:t>
      </w:r>
    </w:p>
    <w:p w:rsidR="007248FE" w:rsidRDefault="008E6BD2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«Численность рабочей силы»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2023 год составил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>13,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58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97.8</w:t>
      </w:r>
      <w:r w:rsidR="007248FE" w:rsidRP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% к январю-декабрю 2022 года).</w:t>
      </w:r>
    </w:p>
    <w:p w:rsidR="007248FE" w:rsidRDefault="008E6BD2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E6B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248FE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>Численность трудовых ресурсов» –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>всего 12,66 тыс. человек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>(оценка), в том числе трудоспособное население в трудоспособном возрасте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>12,42 тыс. человек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(оценка)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</w:t>
      </w:r>
      <w:r w:rsidRPr="00C309C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«численность лиц старше трудоспособного возраста и 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подростков,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занятых в экономике»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</w:t>
      </w:r>
      <w:r w:rsidR="00310ED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1,4 </w:t>
      </w:r>
      <w:r w:rsidR="00953EDC" w:rsidRP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тыс. человек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(оценка); 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Показатель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пенсионеры старше трудоспособного возраста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- 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1,22 </w:t>
      </w:r>
      <w:r w:rsidR="00953EDC" w:rsidRP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тыс. человек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(оценка);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309CD" w:rsidRPr="00C309C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 w:rsidR="00C309CD" w:rsidRP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подростки 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моложе трудоспособного возраста» - 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0,18</w:t>
      </w:r>
      <w:r w:rsidR="00953EDC" w:rsidRP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человек</w:t>
      </w:r>
      <w:r w:rsidR="00C309C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(оценка)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953EDC" w:rsidRDefault="00C309CD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309C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«Номинальная начисленная</w:t>
      </w:r>
      <w:r w:rsid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среднемесячная заработная плата работников организации (без субъектов </w:t>
      </w:r>
      <w:r w:rsidR="0074744E">
        <w:rPr>
          <w:rFonts w:ascii="Times New Roman" w:eastAsia="Times New Roman" w:hAnsi="Times New Roman"/>
          <w:iCs/>
          <w:sz w:val="28"/>
          <w:szCs w:val="28"/>
          <w:lang w:eastAsia="ru-RU"/>
        </w:rPr>
        <w:t>малого предпринимательства)</w:t>
      </w:r>
      <w:r w:rsidR="00DB0619">
        <w:rPr>
          <w:rFonts w:ascii="Times New Roman" w:eastAsia="Times New Roman" w:hAnsi="Times New Roman"/>
          <w:iCs/>
          <w:sz w:val="28"/>
          <w:szCs w:val="28"/>
          <w:lang w:eastAsia="ru-RU"/>
        </w:rPr>
        <w:t>» составил 66827,20 рублей.</w:t>
      </w:r>
    </w:p>
    <w:p w:rsidR="00DB0619" w:rsidRPr="007248FE" w:rsidRDefault="00C309CD" w:rsidP="007248FE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309C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Показатель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B061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«Численность безработных, зарегистрированных в государственных учреждениях службы занятости населения (на конец года)» 0,185 </w:t>
      </w:r>
      <w:r w:rsidR="00DB0619" w:rsidRPr="00953EDC">
        <w:rPr>
          <w:rFonts w:ascii="Times New Roman" w:eastAsia="Times New Roman" w:hAnsi="Times New Roman"/>
          <w:iCs/>
          <w:sz w:val="28"/>
          <w:szCs w:val="28"/>
          <w:lang w:eastAsia="ru-RU"/>
        </w:rPr>
        <w:t>тыс. человек</w:t>
      </w:r>
      <w:r w:rsidR="00DB0619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7C655F" w:rsidRPr="00521F94" w:rsidRDefault="007C655F" w:rsidP="00521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42F66" w:rsidRDefault="00742F66" w:rsidP="00742F66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2F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Население</w:t>
      </w:r>
    </w:p>
    <w:p w:rsidR="00A84460" w:rsidRPr="00742F66" w:rsidRDefault="00A84460" w:rsidP="00742F66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2F66" w:rsidRPr="00742F66" w:rsidRDefault="00742F66" w:rsidP="00846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Среднегодовая численность населения </w:t>
      </w:r>
      <w:r w:rsidR="009136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Дальнереченского городского </w:t>
      </w:r>
      <w:r w:rsidR="007F2B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округа в</w:t>
      </w:r>
      <w:r w:rsidR="008467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2023 году </w:t>
      </w:r>
      <w:r w:rsidR="007F2B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составила </w:t>
      </w:r>
      <w:r w:rsidR="007F2B25"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24,728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 </w:t>
      </w:r>
    </w:p>
    <w:p w:rsidR="00742F66" w:rsidRPr="00742F66" w:rsidRDefault="00742F66" w:rsidP="00846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2023 году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городском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округе родилось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214 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 (в 2022 году – 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189 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чел.), умерло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410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 (в 2022 году -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385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чел.).</w:t>
      </w:r>
      <w:r w:rsidR="00D67B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Естественная убыль составила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-196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 (в 2022 году -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196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чел.). </w:t>
      </w:r>
    </w:p>
    <w:p w:rsidR="00742F66" w:rsidRPr="00742F66" w:rsidRDefault="00742F66" w:rsidP="007F2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2023 году миграционная убыль составила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- 124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чел.: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716 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 прибыло,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840 чел. убыло (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2022 году - миграционная убыль составила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B18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166</w:t>
      </w:r>
      <w:r w:rsidR="007B18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чел.: прибыло –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699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чел., выбыл </w:t>
      </w:r>
      <w:r w:rsidR="00054F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865</w:t>
      </w: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чел.).</w:t>
      </w:r>
    </w:p>
    <w:p w:rsidR="0030496D" w:rsidRDefault="00742F66" w:rsidP="007F2B25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2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В прогнозируемом периоде сохранится тенденция естественной убыли и миграционного оттока населения. </w:t>
      </w:r>
    </w:p>
    <w:p w:rsidR="007F2B25" w:rsidRDefault="007F2B25" w:rsidP="007F2B25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83682" w:rsidRDefault="00C8368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lastRenderedPageBreak/>
        <w:t>Промышленное производство</w:t>
      </w:r>
    </w:p>
    <w:p w:rsidR="00C83682" w:rsidRPr="00C83682" w:rsidRDefault="00C8368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Предприятиями, не относящимися к субъектам малого предпринимательства, в 2023 году отгружено товаров собственного производства, выполнено работ и услуг собственными силами на сумму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797, 00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что составляет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86,0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%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к уровню 2023 года,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в действующих ценах и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116,3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в сопоставимых ценах к 2022 году.</w:t>
      </w:r>
    </w:p>
    <w:p w:rsidR="00C83682" w:rsidRDefault="00D67B71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 оценки 2024 года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объем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отгружено товаров собственного производства, выполнено работ на сумму 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868,73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что составляет 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109,</w:t>
      </w:r>
      <w:r w:rsidR="007478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0%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к уровню 2023 года,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в действующих ценах и 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109</w:t>
      </w:r>
      <w:r w:rsidR="007478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,0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в сопоставимых ценах к 202</w:t>
      </w:r>
      <w:r w:rsid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году.</w:t>
      </w:r>
    </w:p>
    <w:p w:rsid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2027 году по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онсервативному варианту развития экономики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объем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отгружено товаров собственного производства, выполнено работ и услуг собственными силами прогнозируется на сумму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883,4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базовому варианту - </w:t>
      </w:r>
      <w:r w:rsidR="007478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964,93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 </w:t>
      </w:r>
    </w:p>
    <w:p w:rsidR="007478CA" w:rsidRDefault="007478CA" w:rsidP="007478C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Показатель «Обрабатывающее производство» в 2023 году составил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506,50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7F2B25" w:rsidRP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млн. руб</w:t>
      </w:r>
      <w:r w:rsid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.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,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что составляет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83,06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%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к уровню 2023 года,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в действующих ценах и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120,40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в сопоставимых ценах к 2022 году.</w:t>
      </w:r>
    </w:p>
    <w:p w:rsidR="007478CA" w:rsidRDefault="007478CA" w:rsidP="007478C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 оценк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е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2024 года данный показатель составит 552,09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что составляет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109,0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%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к уровню 2023 года.</w:t>
      </w:r>
    </w:p>
    <w:p w:rsidR="007478CA" w:rsidRDefault="007478CA" w:rsidP="007478C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2027 году по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онсервативному варианту прогнозируется на сумму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611,93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базовому варианту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–613,22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 </w:t>
      </w:r>
    </w:p>
    <w:p w:rsidR="007478CA" w:rsidRPr="00C83682" w:rsidRDefault="007478CA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83682" w:rsidRDefault="00C8368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Сельское хозяйство</w:t>
      </w:r>
    </w:p>
    <w:p w:rsidR="00A84460" w:rsidRPr="00C83682" w:rsidRDefault="00A84460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2023 году хозяйствами всех категорий произведено сельскохозяйственной продукции (по оценке) на сумму </w:t>
      </w:r>
      <w:r w:rsidR="007478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354,15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что составляет </w:t>
      </w:r>
      <w:r w:rsidR="007478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121,2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2022 году в сопоставимых ценах. </w:t>
      </w:r>
    </w:p>
    <w:p w:rsidR="00C83682" w:rsidRPr="00C83682" w:rsidRDefault="00C83682" w:rsidP="00C836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Из общего объема продукции сельского хозяйства на долю продукции растениеводства приходится 82 %, продукции животноводства – 18 %.</w:t>
      </w:r>
    </w:p>
    <w:p w:rsid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Молока хозяйствами всех категорий (по оценке) произведено</w:t>
      </w:r>
      <w:r w:rsidR="00E47D6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580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тонн на сумму 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43,</w:t>
      </w:r>
      <w:r w:rsidR="00E47D6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5 </w:t>
      </w:r>
      <w:r w:rsid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млн. руб. Мяса хозяйствами всех категорий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произведено </w:t>
      </w:r>
      <w:r w:rsidR="00E47D6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106 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тонн </w:t>
      </w:r>
      <w:r w:rsidR="003142D6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на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сумму </w:t>
      </w:r>
      <w:r w:rsidR="00E47D6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45,57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 </w:t>
      </w:r>
    </w:p>
    <w:p w:rsidR="00A87A01" w:rsidRDefault="008220B3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lastRenderedPageBreak/>
        <w:t xml:space="preserve">Всего площадь земель сельскохозяйственного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н</w:t>
      </w:r>
      <w:r w:rsidR="00D67B7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азначения 9496,5672 га, из них </w:t>
      </w:r>
      <w:r w:rsidRP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сельскохозяйственные угодья 5342,4647га.</w:t>
      </w:r>
      <w:r w:rsidR="00D67B71" w:rsidRPr="00D67B7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D67B71" w:rsidRP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 2024 году предоставлено для ведения крестьянского фермерского хозяйства</w:t>
      </w:r>
      <w:r w:rsidR="00D67B7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D67B71" w:rsidRP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1475,4285</w:t>
      </w:r>
      <w:r w:rsidR="00D67B7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D67B71" w:rsidRPr="008220B3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га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(</w:t>
      </w:r>
      <w:r w:rsidR="00D67B71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 2023 году 2845,1644 га).</w:t>
      </w:r>
    </w:p>
    <w:p w:rsidR="00C83682" w:rsidRPr="00190A58" w:rsidRDefault="00D67B71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В 202</w:t>
      </w:r>
      <w:r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4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 xml:space="preserve"> году площадь посевов сельскохозяйственных культур сельскохозяйственными предприятиями, крестьянско - фермерскими хозяйствами и индивидуальными предпринимателями составила </w:t>
      </w:r>
      <w:r w:rsidR="00190A58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 xml:space="preserve">1557 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га (в 202</w:t>
      </w:r>
      <w:r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3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 xml:space="preserve"> году – </w:t>
      </w:r>
      <w:r w:rsidR="00190A58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2807,3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 xml:space="preserve"> га). Уменьшение площади посева на </w:t>
      </w:r>
      <w:r w:rsidR="00190A58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1250,3</w:t>
      </w:r>
      <w:r w:rsidR="00C83682" w:rsidRPr="00190A58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 xml:space="preserve"> га произошло в связи с большим количеством осадков, что повлекло переувлажнение почвы и не позволило выполнить посев сельскохозяйственных культур в срок</w:t>
      </w:r>
      <w:r w:rsidR="00A87A01">
        <w:rPr>
          <w:rFonts w:ascii="Times New Roman" w:eastAsia="Times New Roman" w:hAnsi="Times New Roman" w:cs="Times New Roman"/>
          <w:color w:val="000000" w:themeColor="text1"/>
          <w:kern w:val="1"/>
          <w:sz w:val="26"/>
          <w:szCs w:val="26"/>
          <w:lang w:eastAsia="ar-SA"/>
        </w:rPr>
        <w:t>.</w:t>
      </w:r>
    </w:p>
    <w:p w:rsidR="00C83682" w:rsidRDefault="00C83682" w:rsidP="003142D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По оценке 2024 года продукции сельского хозяйства во всех категориях хозяйств будет произведено на сумму 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287,932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млн. руб. или 81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,3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уровню 2022 года в сопоставимых ценах. При консервативном варианте развития экономики в 2027 году прогнозируется производство продукции сельского хозяйства на сумму 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305,22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при базовом варианте – </w:t>
      </w:r>
      <w:r w:rsidR="003142D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309,75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 </w:t>
      </w:r>
    </w:p>
    <w:p w:rsidR="000C39A6" w:rsidRPr="00C83682" w:rsidRDefault="000C39A6" w:rsidP="003142D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83682" w:rsidRDefault="00C83682" w:rsidP="00C8368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Строительство</w:t>
      </w:r>
    </w:p>
    <w:p w:rsidR="00A84460" w:rsidRDefault="00A84460" w:rsidP="00C8368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1F47CC" w:rsidRDefault="001F47CC" w:rsidP="001F47C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</w:pPr>
      <w:r w:rsidRPr="001F47CC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Показатель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«Ввод в действие жилых домов»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в 2023 году</w:t>
      </w:r>
      <w:r w:rsidR="00EC2B4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 xml:space="preserve"> 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составил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3560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кв.м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EC2B4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к</w:t>
      </w:r>
      <w:r w:rsidRPr="00C8368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 xml:space="preserve"> уровн</w:t>
      </w:r>
      <w:r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ю</w:t>
      </w:r>
      <w:r w:rsidRPr="00C8368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 xml:space="preserve"> 2022 года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127,14 %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(2022 год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–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80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кв.м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).</w:t>
      </w:r>
    </w:p>
    <w:p w:rsidR="001F47CC" w:rsidRPr="00C83682" w:rsidRDefault="001F47CC" w:rsidP="001F47C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По оценке в 2024 году ввод в действие жилых домов составит 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3100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кв.м, в 2027 году по консервативному варианту прогнозируется – 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96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тыс. кв.м, базовому варианту – 3</w:t>
      </w:r>
      <w:r w:rsidR="007F2B25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140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кв.м. </w:t>
      </w:r>
    </w:p>
    <w:p w:rsidR="00C83682" w:rsidRP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7F2B25" w:rsidRDefault="00C83682" w:rsidP="002445C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Торговля и услуги населению</w:t>
      </w:r>
    </w:p>
    <w:p w:rsidR="00A84460" w:rsidRPr="002445CC" w:rsidRDefault="00A84460" w:rsidP="002445C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2445CC" w:rsidRPr="002445CC" w:rsidRDefault="002445CC" w:rsidP="002445C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</w:pPr>
      <w:r w:rsidRPr="002445CC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 xml:space="preserve">Потребительский рынок продолжает оказывать влияние на поддержание общеэкономической динамики. В ответ на потребительские предпочтения и растущие требования к ассортименту, качеству и доступности предоставляемой продукции и услуг увеличивается доля современных форм торговли и обслуживания населения, повышается уровень конкурентоспособности, что способствует ускорению развития оборота розничной торговли и платных услуг </w:t>
      </w:r>
      <w:r w:rsidRPr="002445CC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lastRenderedPageBreak/>
        <w:t>населению. Вновь открывающиеся предприятия высокого уровня комфортности, ориентированы на современный формат. На развитие инфраструктуры потребительского рынка существенное влияние оказывает конкуренция. Развиваются стандарты и технологии, связанные с сетевыми формами организации торгового обслуживания.</w:t>
      </w:r>
    </w:p>
    <w:p w:rsidR="00C83682" w:rsidRPr="00C83682" w:rsidRDefault="00C83682" w:rsidP="00C836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Состояние потребительского рынка в настоящее время позволяет удовлетворить потребности населения в жизненно важных продуктах питания и основных товарах.</w:t>
      </w:r>
    </w:p>
    <w:p w:rsidR="00EC2B42" w:rsidRPr="00EC2B42" w:rsidRDefault="00EC2B42" w:rsidP="00EC2B4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</w:pPr>
      <w:r w:rsidRPr="00EC2B4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 xml:space="preserve">По состоянию на </w:t>
      </w:r>
      <w:r w:rsidR="00C309CD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0</w:t>
      </w:r>
      <w:r w:rsidRPr="00EC2B42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ar-SA"/>
        </w:rPr>
        <w:t>1.10.2024 торговая сеть Дальнереченского городского округа (оптовая, розничная и мелкорозничная) насчитывает 487 объекта. Оптовых баз (в том числе товарных складов и холодильников) – 52 единицы; предприятий розничной торговой сети - 282 единицы; объектов мелкорозничной торговой сети (киосков, павильонов, лотков) – 153 единицы.</w:t>
      </w:r>
    </w:p>
    <w:p w:rsidR="00C83682" w:rsidRDefault="00C83682" w:rsidP="00C83682">
      <w:pPr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  <w:t xml:space="preserve">В 2023 году оборот розничной торговли, составил 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1363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,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0 млн. руб., что больше 2022 года в 2,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4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раза. В 2024 году прогнозируется оборот розничной торговли в сумме 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1608,69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в 2027 году по консервативному варианту развития – 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1778,42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базовому варианту – </w:t>
      </w:r>
      <w:r w:rsidR="0083331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1799,14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</w:t>
      </w:r>
    </w:p>
    <w:p w:rsidR="00EC2B42" w:rsidRDefault="00DB35DF" w:rsidP="00DB35D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DB35DF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Рынок платных услуг населению представлен предприятиями частной и других негосударственных форм собственности. </w:t>
      </w:r>
    </w:p>
    <w:p w:rsidR="002445CC" w:rsidRPr="00C83682" w:rsidRDefault="00DB35DF" w:rsidP="00DB35D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структуре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объема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платных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услуг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наибольший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удельный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вес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занимают</w:t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коммунальные услуги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.</w:t>
      </w:r>
    </w:p>
    <w:p w:rsidR="00C83682" w:rsidRPr="00C83682" w:rsidRDefault="00C83682" w:rsidP="00C83682">
      <w:pPr>
        <w:tabs>
          <w:tab w:val="left" w:pos="-16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  <w:t xml:space="preserve">За 2023 год оказано платных услуг населениюна сумму </w:t>
      </w:r>
      <w:r w:rsidR="004F6907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358,80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руб., что составляет 10</w:t>
      </w:r>
      <w:r w:rsidR="004F6907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4,6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уровню 2022 года в сопоставимых ценах.  .</w:t>
      </w:r>
    </w:p>
    <w:p w:rsidR="00C83682" w:rsidRDefault="00C83682" w:rsidP="00C83682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  <w:t xml:space="preserve">В 2024 году по оценке платных услуг будет оказано на сумму 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376,02 млн. руб. (104,8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уровню 2023 года в сопоставимых ценах). Прогнозируемый объем платных услуг в 2027 году (базовый вариант) – </w:t>
      </w:r>
      <w:r w:rsidR="00DB35DF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477,38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</w:t>
      </w:r>
    </w:p>
    <w:p w:rsidR="00C6129B" w:rsidRPr="00C83682" w:rsidRDefault="00C6129B" w:rsidP="00C83682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6129B" w:rsidRDefault="00C83682" w:rsidP="0060637A">
      <w:pPr>
        <w:tabs>
          <w:tab w:val="left" w:pos="623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Малое и среднее предпринимательство</w:t>
      </w:r>
    </w:p>
    <w:p w:rsidR="00A84460" w:rsidRPr="00C83682" w:rsidRDefault="00A84460" w:rsidP="0060637A">
      <w:pPr>
        <w:tabs>
          <w:tab w:val="left" w:pos="623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ab/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Дальнереченском городском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округ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е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субъекты малого и среднего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предпринимательство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, включая микропредприятия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охватыва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ю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т все виды экономическ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ой деятельности. На территорииг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о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родского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округа на 01.01.2024 </w:t>
      </w:r>
      <w:r w:rsidR="0085285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года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lastRenderedPageBreak/>
        <w:t xml:space="preserve">осуществлял деятельность 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8</w:t>
      </w:r>
      <w:r w:rsidR="00F1005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58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единиц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субъект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а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малого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и среднего </w:t>
      </w:r>
      <w:r w:rsidR="00C6129B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предпринимательства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включая микропредприятия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(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844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60637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ед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иниц</w:t>
      </w:r>
      <w:r w:rsidR="0060637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на 01.01.2023).</w:t>
      </w:r>
    </w:p>
    <w:p w:rsidR="00C83682" w:rsidRPr="00C83682" w:rsidRDefault="00C83682" w:rsidP="00C83682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</w:r>
      <w:r w:rsidR="00EC2B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На территории 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городского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округа наибольшее развитие малый бизнес получил в сфере розничной торговли, общественного питания, платных услуг населению</w:t>
      </w:r>
      <w:r w:rsidR="00C6129B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.</w:t>
      </w:r>
    </w:p>
    <w:p w:rsidR="00C83682" w:rsidRPr="00C83682" w:rsidRDefault="00C83682" w:rsidP="00C836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Администрацией </w:t>
      </w:r>
      <w:r w:rsidR="00F1005D">
        <w:rPr>
          <w:rFonts w:ascii="Times New Roman" w:eastAsia="Times New Roman" w:hAnsi="Times New Roman" w:cs="Times New Roman"/>
          <w:sz w:val="26"/>
          <w:szCs w:val="26"/>
          <w:lang w:eastAsia="ar-SA"/>
        </w:rPr>
        <w:t>Дальнереченского городского округа</w:t>
      </w:r>
      <w:r w:rsidR="00EC2B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субъектам малого и</w:t>
      </w:r>
      <w:r w:rsidR="00EC2B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3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предпринимательства предусмотрена информационная, консультационная, имущественная и финансовая поддержка. </w:t>
      </w:r>
    </w:p>
    <w:p w:rsidR="00C83682" w:rsidRPr="00C83682" w:rsidRDefault="00C83682" w:rsidP="00900C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r w:rsidR="00F1005D">
        <w:rPr>
          <w:rFonts w:ascii="Times New Roman" w:eastAsia="Times New Roman" w:hAnsi="Times New Roman" w:cs="Times New Roman"/>
          <w:sz w:val="26"/>
          <w:szCs w:val="26"/>
          <w:lang w:eastAsia="ar-SA"/>
        </w:rPr>
        <w:t>Дальнереченком городском</w:t>
      </w: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округе </w:t>
      </w:r>
      <w:r w:rsidR="00900C3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действует Совет</w:t>
      </w:r>
      <w:r w:rsidR="00900C35" w:rsidRPr="00900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улучшению инвестиционного климата и р</w:t>
      </w:r>
      <w:r w:rsidR="00900C35">
        <w:rPr>
          <w:rFonts w:ascii="Times New Roman" w:eastAsia="Times New Roman" w:hAnsi="Times New Roman" w:cs="Times New Roman"/>
          <w:sz w:val="26"/>
          <w:szCs w:val="26"/>
          <w:lang w:eastAsia="ru-RU"/>
        </w:rPr>
        <w:t>азвитию предпринимательства при</w:t>
      </w:r>
      <w:r w:rsidR="00900C35" w:rsidRPr="00900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главе Дальнереченского городского округа</w:t>
      </w: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на котором рассматриваются актуальные для предпринимателей вопросы. В 2023 году было проведено </w:t>
      </w:r>
      <w:r w:rsidR="00F1005D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>заседания Совета.</w:t>
      </w:r>
    </w:p>
    <w:p w:rsidR="00C83682" w:rsidRDefault="00C83682" w:rsidP="00900C35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 оценке в 2024 году количество субъектов малого предпринимательства составит</w:t>
      </w:r>
      <w:r w:rsidR="00F1005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868 ед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иниц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, в 2027 году по консе</w:t>
      </w:r>
      <w:r w:rsidR="00F1005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рвати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вному варианту развития – 905</w:t>
      </w:r>
      <w:r w:rsidR="009273E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единиц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, по базовому варианту </w:t>
      </w:r>
      <w:r w:rsidR="009273E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–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F1005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929</w:t>
      </w:r>
      <w:r w:rsidR="009273EE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F1005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ед</w:t>
      </w:r>
      <w:r w:rsidR="00C309C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иниц.</w:t>
      </w:r>
    </w:p>
    <w:p w:rsidR="00661A5A" w:rsidRPr="00C83682" w:rsidRDefault="00661A5A" w:rsidP="00900C35">
      <w:pPr>
        <w:tabs>
          <w:tab w:val="left" w:pos="6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83682" w:rsidRDefault="00A84460" w:rsidP="00C83682">
      <w:pPr>
        <w:suppressAutoHyphens/>
        <w:spacing w:after="0" w:line="360" w:lineRule="auto"/>
        <w:ind w:left="2836" w:firstLine="709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="00C83682"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Инвестиции</w:t>
      </w:r>
    </w:p>
    <w:p w:rsidR="00A84460" w:rsidRPr="00C83682" w:rsidRDefault="00A84460" w:rsidP="00C83682">
      <w:pPr>
        <w:suppressAutoHyphens/>
        <w:spacing w:after="0" w:line="360" w:lineRule="auto"/>
        <w:ind w:left="2836" w:firstLine="709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За 2023 год в развитие экономики и социальной сферы округа вложено инвестиций по организациям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и субъекта</w:t>
      </w:r>
      <w:r w:rsidR="00661A5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малого, среднего предпринимательства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, на сумму 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2949,13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 или 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3р</w:t>
      </w:r>
      <w:r w:rsidR="00661A5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аза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в сопоставимых ценах к уровню 20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22 года.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 прогнозируемом периоде планируется укрепление материально - технической базы учреждений образования и культуры, приобретение медицинского оборудования, обустройство спортивных площадок, благоустройство дворовых и общественных территорий, реконструкция автомобильных дорог.</w:t>
      </w:r>
    </w:p>
    <w:p w:rsid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По оценке 2024 года объем инвестиций составит 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2981,57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млн. руб. (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101,10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в сопоставимых ценах к 2023 году). При базовом варианте развития экономики объем инвестиций в 2027 году прогнозируется в сумме </w:t>
      </w:r>
      <w:r w:rsidR="009402F9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3090,19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млн. руб.</w:t>
      </w:r>
    </w:p>
    <w:p w:rsidR="00A84460" w:rsidRPr="00C83682" w:rsidRDefault="00A84460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83682" w:rsidRDefault="00C8368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Консолидированный бюджет</w:t>
      </w:r>
    </w:p>
    <w:p w:rsidR="009D07E2" w:rsidRPr="009D07E2" w:rsidRDefault="009D07E2" w:rsidP="009D07E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сохранение и развитие доходных источников бюджета Дальнереченского городского округа;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оптимизация расходных обязательств бюджета Дальнереченского городского округа;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2024 год планируется поступление доходов в бюджет Дальнереченского городского округа в сумме 1 525,49 млн. рублей, в том числе налоговых и неналоговых в сумме 584,12 млн. рублей. 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Доходную часть бюджета на 2025-2027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налог, взимаемый с применением упрощенной системы налогообложения,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имущества, плата за негативное воздействие на окружающую среду, штрафы, санкции и возмещение ущерба, доходы от продажи материальных и нематериальных активов, прочие неналоговые доходы. 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планировании доходной части учитывалось фактическое поступление доходов за 2023 год, ожидаемое поступление доходов за 2024 год</w:t>
      </w:r>
      <w:r w:rsidR="00661A5A">
        <w:rPr>
          <w:rFonts w:ascii="Times New Roman" w:eastAsia="Times New Roman" w:hAnsi="Times New Roman" w:cs="Times New Roman"/>
          <w:sz w:val="26"/>
          <w:szCs w:val="26"/>
          <w:lang w:eastAsia="ru-RU"/>
        </w:rPr>
        <w:t>, суммы недоимки на 01.07.2024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предоставленные налоговым органом, увеличение поступления акцизов по подакцизным товарам, предоставленное администратором данного источника.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Планирование доходной части бюджета Дальнереченского горо</w:t>
      </w:r>
      <w:r w:rsidR="00A84460">
        <w:rPr>
          <w:rFonts w:ascii="Times New Roman" w:eastAsia="Times New Roman" w:hAnsi="Times New Roman" w:cs="Times New Roman"/>
          <w:sz w:val="26"/>
          <w:szCs w:val="26"/>
          <w:lang w:eastAsia="ru-RU"/>
        </w:rPr>
        <w:t>дского округа на 2025-2027 годы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проводилось на основании  нормативов отчислений в  местный бюджет </w:t>
      </w:r>
      <w:r w:rsidR="00A844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налога на доходы физических лиц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размере: </w:t>
      </w:r>
    </w:p>
    <w:p w:rsidR="009D07E2" w:rsidRPr="009D07E2" w:rsidRDefault="009D07E2" w:rsidP="009D07E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2025г</w:t>
      </w:r>
      <w:r w:rsidR="00661A5A">
        <w:rPr>
          <w:rFonts w:ascii="Times New Roman" w:eastAsia="Times New Roman" w:hAnsi="Times New Roman" w:cs="Times New Roman"/>
          <w:sz w:val="26"/>
          <w:szCs w:val="26"/>
          <w:lang w:eastAsia="ru-RU"/>
        </w:rPr>
        <w:t>од - 76,1272967 %,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2026г</w:t>
      </w:r>
      <w:r w:rsidR="00661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од- 63,3490151 %, 2027год 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- 63,3490151 %. </w:t>
      </w:r>
    </w:p>
    <w:p w:rsidR="009D07E2" w:rsidRPr="009D07E2" w:rsidRDefault="009D07E2" w:rsidP="00A84460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Планируемое поступление налоговых и неналоговых доходов на: </w:t>
      </w:r>
    </w:p>
    <w:p w:rsidR="009D07E2" w:rsidRPr="009D07E2" w:rsidRDefault="009D07E2" w:rsidP="009D07E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2025 год- 650,22 млн. рублей, 2026 год – 620,68 млн.рублей, 2027 год – 659,85 млн. рублей. 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Ожидается увеличение налоговых и неналоговых доходов в 2025 году по сравнению с ожидаемым поступлением в 2024 году на 66,10 млн. рублей (увеличение норматива отчислений от  НДФЛ с 70,9067570 % до 76,1272967 %), в 2026 году наблюдается снижение налоговых и неналоговых доходов по сравнению с предполагаемым поступлением в 2025 году на 29,54 млн. рублей (снижение норматива с 76,1272967 % до 63,3490151 %), в 2027 году наблюдается увеличение налоговых и неналоговых доходов по сравнению с предполагаемым поступлением в 2026 году на 39,17 млн. рублей (увеличение ФОТ по данным администратора доходов 182).</w:t>
      </w:r>
    </w:p>
    <w:p w:rsidR="009D07E2" w:rsidRPr="009D07E2" w:rsidRDefault="009D07E2" w:rsidP="00A844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Основная проблема состояния бюджета Дальнереч</w:t>
      </w:r>
      <w:r w:rsidR="00A84460">
        <w:rPr>
          <w:rFonts w:ascii="Times New Roman" w:eastAsia="Times New Roman" w:hAnsi="Times New Roman" w:cs="Times New Roman"/>
          <w:sz w:val="26"/>
          <w:szCs w:val="26"/>
          <w:lang w:eastAsia="ru-RU"/>
        </w:rPr>
        <w:t>енского городского округа – это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сохранить отчисление от НДФЛ в бюджет округа на уровня предшествующего года с дальнейшем повышением процента отчислений. 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составлении прогноза доходов и основных показателей расходов бюджета на 2025 год и плановый период 2026-2027 годы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и на софинансирование расходных обязательств муниципального образования.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оплате труда и начислениям,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округа, а также предусмотреть расходы на коммунальные платежи.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Решение задач по исполнению социальных обязательств и обеспечению наряду с этим развития городских пространств требует выявления резервов экономии средств бюджета Дальнереченского городского округа и определения четких приоритетов их использования. 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чем, при планировании бюджетных ассигнований на 2025 год и на плановый период 2026 и 2027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отдача.</w:t>
      </w:r>
    </w:p>
    <w:p w:rsidR="009D07E2" w:rsidRPr="009D07E2" w:rsidRDefault="009D07E2" w:rsidP="009D07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7E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проведения взвешенной долговой политики и полного погашения муниципального долга Дальнереченского городского округа в 2024 году, обеспечена сбалансированность бюджета Дальнереченского городского округа, потребность в привлечении кредитных ресурсов в 2025-2027 годах отсутствует.</w:t>
      </w:r>
    </w:p>
    <w:p w:rsidR="00C83682" w:rsidRDefault="00C83682" w:rsidP="00C83682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83682" w:rsidRDefault="00C8368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Труд и занятость</w:t>
      </w:r>
    </w:p>
    <w:p w:rsidR="009D07E2" w:rsidRPr="00C83682" w:rsidRDefault="009D07E2" w:rsidP="00C83682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Pr="00C83682" w:rsidRDefault="00661A5A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Ч</w:t>
      </w:r>
      <w:r w:rsidR="009D07E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исленность рабочей силы (по оценке)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составило</w:t>
      </w:r>
      <w:r w:rsidR="00E819B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13,69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тыс. человек, в том числе среднесписочная численность работающих </w:t>
      </w:r>
      <w:r w:rsidR="00E819B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на предприятиях, организациях 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2023 году составила </w:t>
      </w:r>
      <w:r w:rsidR="00E819B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3687 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чел. (в 2022 году - </w:t>
      </w:r>
      <w:r w:rsidR="00E819B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3716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чел.).</w:t>
      </w:r>
      <w:r w:rsidR="00C83682"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</w:r>
    </w:p>
    <w:p w:rsidR="00C83682" w:rsidRP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Уровень регистрируемой безработицы по состоянию на</w:t>
      </w:r>
      <w:r w:rsidR="00E819B6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1 января 2024 года составил 1,0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(на 01.01.2023 – 1,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36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%). </w:t>
      </w:r>
    </w:p>
    <w:p w:rsidR="00C83682" w:rsidRP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По состоянию на 01.01.2024 численность официально зарегистрированных безработных составила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152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 или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121,7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прошлому году (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185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 - на 01 января 2023 года), численность безработных, которым назначено пособие по безработице -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141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 или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109,2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% к прошлому году.</w:t>
      </w:r>
    </w:p>
    <w:p w:rsidR="00C83682" w:rsidRPr="00C83682" w:rsidRDefault="00C83682" w:rsidP="00A8446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Количество вакантных рабочих мест, заявленных работодателями в службу занятости населения, на 01 января 2024 года составляет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786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единицы или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96,7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аналоги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чному периоду прошлого года (812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единиц – на начало 2023 года). Нагрузка незанятого населения на сто заявленных вакансий составила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</w:t>
      </w:r>
      <w:r w:rsidR="00661A5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9,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3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 (2022 год –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22,8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чел.).</w:t>
      </w:r>
    </w:p>
    <w:p w:rsidR="00C83682" w:rsidRP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lastRenderedPageBreak/>
        <w:t>По оценке 2024 года уровень регистрируем</w:t>
      </w:r>
      <w:r w:rsidR="00E45448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 xml:space="preserve">ой безработицы составит 1,1 </w:t>
      </w:r>
      <w:r w:rsidRPr="00C83682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 xml:space="preserve">%, при консервативном варианте развития экономики в 2027 году он составит </w:t>
      </w:r>
      <w:r w:rsidR="00E45448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>1,11</w:t>
      </w:r>
      <w:r w:rsidRPr="00C83682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 xml:space="preserve"> %, при базовом варианте </w:t>
      </w:r>
      <w:r w:rsidR="00E45448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>–1,05</w:t>
      </w:r>
      <w:r w:rsidRPr="00C83682"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  <w:t xml:space="preserve"> %.</w:t>
      </w:r>
    </w:p>
    <w:p w:rsidR="00C83682" w:rsidRP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2023 году среднемесячная заработная плата работающих составила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66 827,20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руб., что составляет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111,48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% к уровню 2022 года. В 2024 году прогнозируется рост среднемесячной заработной платы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83 1116,90 руб.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2027 году при консервативном варианте ее размер составит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101 338,80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руб., при базовом варианте –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102768,40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руб.</w:t>
      </w:r>
    </w:p>
    <w:p w:rsidR="00C83682" w:rsidRP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Основные направления развития </w:t>
      </w:r>
      <w:r w:rsidR="00E45448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Дальнереченского городского округа </w:t>
      </w:r>
    </w:p>
    <w:p w:rsidR="00C83682" w:rsidRPr="00C83682" w:rsidRDefault="00C83682" w:rsidP="00C836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на 2025 - 2027 годы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:</w:t>
      </w:r>
    </w:p>
    <w:p w:rsidR="00C83682" w:rsidRPr="00C83682" w:rsidRDefault="00C83682" w:rsidP="00C836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- создание в </w:t>
      </w:r>
      <w:r w:rsidR="00E45448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городском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округе благоприятного инвестиционного климата;</w:t>
      </w:r>
    </w:p>
    <w:p w:rsidR="00C83682" w:rsidRPr="00C83682" w:rsidRDefault="00C83682" w:rsidP="00C83682">
      <w:pPr>
        <w:suppressAutoHyphens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создание условий для развития малого и среднего предпринимательства;</w:t>
      </w:r>
    </w:p>
    <w:p w:rsidR="00C83682" w:rsidRPr="00C83682" w:rsidRDefault="00C83682" w:rsidP="00C83682">
      <w:pPr>
        <w:suppressAutoHyphens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развитие сельского хозяйства и промышленности;</w:t>
      </w:r>
    </w:p>
    <w:p w:rsidR="00C83682" w:rsidRPr="00C83682" w:rsidRDefault="00C83682" w:rsidP="00C836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проведение ремонтных работ в сфере тепло-, водоснабжения, водоотведения, повышение качества жилищно - коммунальных услуг;</w:t>
      </w:r>
    </w:p>
    <w:p w:rsidR="00C83682" w:rsidRPr="00C83682" w:rsidRDefault="00C83682" w:rsidP="00C836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поддержание уровня устойчивого развития социальной инфраструктуры: образования, культуры, физической культуры и спорта;</w:t>
      </w:r>
    </w:p>
    <w:p w:rsidR="00C83682" w:rsidRPr="00C83682" w:rsidRDefault="00C83682" w:rsidP="00C83682">
      <w:pPr>
        <w:suppressAutoHyphens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обеспечение жильем детей - сирот;</w:t>
      </w:r>
    </w:p>
    <w:p w:rsidR="00C83682" w:rsidRPr="00C83682" w:rsidRDefault="00C83682" w:rsidP="00C83682">
      <w:pPr>
        <w:suppressAutoHyphens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благоустройство дворовых и общественных территорий;</w:t>
      </w:r>
    </w:p>
    <w:p w:rsidR="00C83682" w:rsidRPr="00C83682" w:rsidRDefault="00C83682" w:rsidP="00C83682">
      <w:pPr>
        <w:suppressAutoHyphens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 содержание, ремонт и реконструкция автомобильных дорог.</w:t>
      </w:r>
    </w:p>
    <w:p w:rsidR="00C83682" w:rsidRPr="00C83682" w:rsidRDefault="00C83682" w:rsidP="00C836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В плановом периоде будет продолжена работа по реализации национальных проектов, муниципальных программ, обеспечению качественного исполнения бюджета округа, повышению эффективности управления муниципальным имуществом, исполнению всех полномочий по решению вопросов местного значения.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ab/>
      </w:r>
    </w:p>
    <w:p w:rsidR="00C83682" w:rsidRPr="00C83682" w:rsidRDefault="00C83682" w:rsidP="00C83682">
      <w:pPr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Перечень основных проблемных вопросов</w:t>
      </w:r>
      <w:r w:rsidR="00661A5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Pr="00C8368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развития </w:t>
      </w:r>
    </w:p>
    <w:p w:rsidR="00C83682" w:rsidRDefault="00713442" w:rsidP="00C83682">
      <w:pPr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Дальнереческого городского округа </w:t>
      </w:r>
    </w:p>
    <w:p w:rsidR="00713442" w:rsidRPr="00C83682" w:rsidRDefault="00713442" w:rsidP="00C83682">
      <w:pPr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83682" w:rsidRPr="00C83682" w:rsidRDefault="00C83682" w:rsidP="00C8368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В </w:t>
      </w:r>
      <w:r w:rsidR="0071344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Дальнереченском городском </w:t>
      </w: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округе существует ряд важных проблем:</w:t>
      </w:r>
    </w:p>
    <w:p w:rsidR="00C83682" w:rsidRPr="00C83682" w:rsidRDefault="00C83682" w:rsidP="00C836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высокий процент износа сетей систем водоснабжения, водоотведения и теплоснабжения;</w:t>
      </w:r>
    </w:p>
    <w:p w:rsidR="00C83682" w:rsidRPr="00C83682" w:rsidRDefault="00C83682" w:rsidP="00C8368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C83682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недостаток квалифицированных кадров.</w:t>
      </w:r>
    </w:p>
    <w:p w:rsidR="00C83682" w:rsidRDefault="00C83682" w:rsidP="00C83682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83682" w:rsidRDefault="00C83682" w:rsidP="00054F4F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54F4F" w:rsidRPr="00941D66" w:rsidRDefault="00054F4F" w:rsidP="00054F4F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054F4F" w:rsidRPr="00941D66" w:rsidSect="00E75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BFF" w:rsidRDefault="005F7BFF" w:rsidP="002E2C1D">
      <w:pPr>
        <w:spacing w:after="0" w:line="240" w:lineRule="auto"/>
      </w:pPr>
      <w:r>
        <w:separator/>
      </w:r>
    </w:p>
  </w:endnote>
  <w:endnote w:type="continuationSeparator" w:id="1">
    <w:p w:rsidR="005F7BFF" w:rsidRDefault="005F7BFF" w:rsidP="002E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BFF" w:rsidRDefault="005F7BFF" w:rsidP="002E2C1D">
      <w:pPr>
        <w:spacing w:after="0" w:line="240" w:lineRule="auto"/>
      </w:pPr>
      <w:r>
        <w:separator/>
      </w:r>
    </w:p>
  </w:footnote>
  <w:footnote w:type="continuationSeparator" w:id="1">
    <w:p w:rsidR="005F7BFF" w:rsidRDefault="005F7BFF" w:rsidP="002E2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1D" w:rsidRDefault="002E2C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2795"/>
    <w:rsid w:val="00044115"/>
    <w:rsid w:val="00054F4F"/>
    <w:rsid w:val="000846D1"/>
    <w:rsid w:val="000B51B6"/>
    <w:rsid w:val="000C39A6"/>
    <w:rsid w:val="000C63B1"/>
    <w:rsid w:val="000E48C9"/>
    <w:rsid w:val="000F0C4E"/>
    <w:rsid w:val="00136B94"/>
    <w:rsid w:val="001624E1"/>
    <w:rsid w:val="00190A58"/>
    <w:rsid w:val="001D547B"/>
    <w:rsid w:val="001E6C34"/>
    <w:rsid w:val="001F47CC"/>
    <w:rsid w:val="00206199"/>
    <w:rsid w:val="002136BD"/>
    <w:rsid w:val="00215B96"/>
    <w:rsid w:val="0023191A"/>
    <w:rsid w:val="002445CC"/>
    <w:rsid w:val="002B3C5F"/>
    <w:rsid w:val="002D5DC2"/>
    <w:rsid w:val="002E2C1D"/>
    <w:rsid w:val="0030496D"/>
    <w:rsid w:val="00310ED6"/>
    <w:rsid w:val="003142D6"/>
    <w:rsid w:val="004D02EE"/>
    <w:rsid w:val="004F6907"/>
    <w:rsid w:val="00521F94"/>
    <w:rsid w:val="005F7BFF"/>
    <w:rsid w:val="0060637A"/>
    <w:rsid w:val="006435BD"/>
    <w:rsid w:val="006473C5"/>
    <w:rsid w:val="00661A5A"/>
    <w:rsid w:val="006749FC"/>
    <w:rsid w:val="006B0DEB"/>
    <w:rsid w:val="006D0828"/>
    <w:rsid w:val="00713442"/>
    <w:rsid w:val="007248FE"/>
    <w:rsid w:val="00742F66"/>
    <w:rsid w:val="0074744E"/>
    <w:rsid w:val="007478CA"/>
    <w:rsid w:val="007B1897"/>
    <w:rsid w:val="007C655F"/>
    <w:rsid w:val="007F2B25"/>
    <w:rsid w:val="008220B3"/>
    <w:rsid w:val="0083331E"/>
    <w:rsid w:val="00843473"/>
    <w:rsid w:val="0084382A"/>
    <w:rsid w:val="0084674B"/>
    <w:rsid w:val="00852852"/>
    <w:rsid w:val="00893EAB"/>
    <w:rsid w:val="008A0BF6"/>
    <w:rsid w:val="008A6023"/>
    <w:rsid w:val="008E6BD2"/>
    <w:rsid w:val="00900C35"/>
    <w:rsid w:val="00913627"/>
    <w:rsid w:val="009273EE"/>
    <w:rsid w:val="009402F9"/>
    <w:rsid w:val="00941D66"/>
    <w:rsid w:val="00950C81"/>
    <w:rsid w:val="00953EDC"/>
    <w:rsid w:val="00967C03"/>
    <w:rsid w:val="0098431B"/>
    <w:rsid w:val="009938CC"/>
    <w:rsid w:val="009D07E2"/>
    <w:rsid w:val="009E596C"/>
    <w:rsid w:val="009F4FAA"/>
    <w:rsid w:val="00A33840"/>
    <w:rsid w:val="00A83363"/>
    <w:rsid w:val="00A84460"/>
    <w:rsid w:val="00A87A01"/>
    <w:rsid w:val="00AD4956"/>
    <w:rsid w:val="00AE1771"/>
    <w:rsid w:val="00B37E22"/>
    <w:rsid w:val="00B6203C"/>
    <w:rsid w:val="00C309CD"/>
    <w:rsid w:val="00C6129B"/>
    <w:rsid w:val="00C83682"/>
    <w:rsid w:val="00C9616A"/>
    <w:rsid w:val="00C97F3D"/>
    <w:rsid w:val="00CB7B97"/>
    <w:rsid w:val="00D353C0"/>
    <w:rsid w:val="00D67B71"/>
    <w:rsid w:val="00DB0619"/>
    <w:rsid w:val="00DB35DF"/>
    <w:rsid w:val="00DC0E31"/>
    <w:rsid w:val="00E12795"/>
    <w:rsid w:val="00E45448"/>
    <w:rsid w:val="00E47D68"/>
    <w:rsid w:val="00E75508"/>
    <w:rsid w:val="00E819B6"/>
    <w:rsid w:val="00EC2B42"/>
    <w:rsid w:val="00EE70BF"/>
    <w:rsid w:val="00F1005D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AA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41D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1D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5">
    <w:name w:val="p5"/>
    <w:basedOn w:val="a"/>
    <w:rsid w:val="00521F9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21F94"/>
    <w:rPr>
      <w:rFonts w:cs="Times New Roman"/>
    </w:rPr>
  </w:style>
  <w:style w:type="character" w:customStyle="1" w:styleId="object">
    <w:name w:val="object"/>
    <w:basedOn w:val="a0"/>
    <w:rsid w:val="008220B3"/>
  </w:style>
  <w:style w:type="paragraph" w:styleId="a3">
    <w:name w:val="header"/>
    <w:basedOn w:val="a"/>
    <w:link w:val="a4"/>
    <w:uiPriority w:val="99"/>
    <w:semiHidden/>
    <w:unhideWhenUsed/>
    <w:rsid w:val="002E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2C1D"/>
  </w:style>
  <w:style w:type="paragraph" w:styleId="a5">
    <w:name w:val="footer"/>
    <w:basedOn w:val="a"/>
    <w:link w:val="a6"/>
    <w:uiPriority w:val="99"/>
    <w:semiHidden/>
    <w:unhideWhenUsed/>
    <w:rsid w:val="002E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2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01D59-8BC0-4044-AE6B-01FEAFD2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13</Pages>
  <Words>3070</Words>
  <Characters>17501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АВ</dc:creator>
  <cp:lastModifiedBy>Кузнецова АВ</cp:lastModifiedBy>
  <cp:revision>3</cp:revision>
  <cp:lastPrinted>2024-10-21T06:48:00Z</cp:lastPrinted>
  <dcterms:created xsi:type="dcterms:W3CDTF">2024-10-21T22:29:00Z</dcterms:created>
  <dcterms:modified xsi:type="dcterms:W3CDTF">2024-10-22T01:40:00Z</dcterms:modified>
</cp:coreProperties>
</file>