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ind w:firstLine="4395" w:left="0" w:right="0"/>
        <w:jc w:val="center"/>
      </w:pPr>
      <w:r>
        <w:rPr>
          <w:sz w:val="28"/>
          <w:szCs w:val="28"/>
        </w:rPr>
        <w:t>Приложение № 1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к Положению о порядке организации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и проведения ежегодного краевого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смотра-конкурса на лучшую постановку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работы по охране труда в 2015-2017 годах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среди городских округов и муниципальных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районов, среди работодателей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на территории Приморского края,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утвержденному постановлением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Администрации Приморского края</w:t>
      </w:r>
    </w:p>
    <w:p>
      <w:pPr>
        <w:pStyle w:val="style0"/>
        <w:widowControl w:val="false"/>
        <w:ind w:firstLine="4395" w:left="0" w:right="0"/>
        <w:jc w:val="center"/>
      </w:pPr>
      <w:r>
        <w:rPr>
          <w:sz w:val="28"/>
          <w:szCs w:val="28"/>
        </w:rPr>
        <w:t>от 23 октября 2014 года № 433-па</w:t>
      </w:r>
    </w:p>
    <w:p>
      <w:pPr>
        <w:pStyle w:val="style0"/>
        <w:ind w:firstLine="4536" w:left="0" w:right="0"/>
        <w:jc w:val="center"/>
      </w:pPr>
      <w:r>
        <w:rPr>
          <w:b/>
          <w:sz w:val="28"/>
          <w:szCs w:val="28"/>
        </w:rPr>
      </w:r>
    </w:p>
    <w:p>
      <w:pPr>
        <w:pStyle w:val="style0"/>
        <w:ind w:firstLine="4536" w:left="0" w:right="0"/>
        <w:jc w:val="center"/>
      </w:pPr>
      <w:bookmarkStart w:id="0" w:name="_GoBack"/>
      <w:bookmarkStart w:id="1" w:name="_GoBack"/>
      <w:bookmarkEnd w:id="1"/>
      <w:r>
        <w:rPr>
          <w:b/>
          <w:sz w:val="10"/>
          <w:szCs w:val="28"/>
        </w:rPr>
      </w:r>
    </w:p>
    <w:p>
      <w:pPr>
        <w:pStyle w:val="style0"/>
        <w:jc w:val="center"/>
      </w:pPr>
      <w:r>
        <w:rPr>
          <w:b/>
          <w:sz w:val="28"/>
          <w:szCs w:val="28"/>
        </w:rPr>
        <w:t>КРИТЕРИИ ОЦЕНКИ</w:t>
      </w:r>
    </w:p>
    <w:p>
      <w:pPr>
        <w:pStyle w:val="style0"/>
        <w:jc w:val="center"/>
      </w:pPr>
      <w:r>
        <w:rPr>
          <w:b/>
          <w:sz w:val="16"/>
          <w:szCs w:val="16"/>
        </w:rPr>
      </w:r>
    </w:p>
    <w:p>
      <w:pPr>
        <w:pStyle w:val="style0"/>
        <w:jc w:val="center"/>
      </w:pPr>
      <w:r>
        <w:rPr>
          <w:b/>
          <w:sz w:val="28"/>
          <w:szCs w:val="28"/>
        </w:rPr>
        <w:t>основных показателей работы по охране труда</w:t>
      </w:r>
    </w:p>
    <w:p>
      <w:pPr>
        <w:pStyle w:val="style0"/>
        <w:jc w:val="center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организации, численность работников которой не превышает 50 человек </w:t>
      </w:r>
    </w:p>
    <w:p>
      <w:pPr>
        <w:pStyle w:val="style0"/>
        <w:jc w:val="center"/>
      </w:pPr>
      <w:r>
        <w:rPr>
          <w:b/>
          <w:sz w:val="28"/>
          <w:szCs w:val="28"/>
        </w:rPr>
        <w:t>(в баллах)</w:t>
      </w:r>
    </w:p>
    <w:p>
      <w:pPr>
        <w:pStyle w:val="style0"/>
        <w:jc w:val="center"/>
      </w:pPr>
      <w:r>
        <w:rPr>
          <w:b/>
          <w:sz w:val="28"/>
          <w:szCs w:val="28"/>
        </w:rPr>
      </w:r>
    </w:p>
    <w:tbl>
      <w:tblPr>
        <w:jc w:val="left"/>
        <w:tblInd w:type="dxa" w:w="10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Наличие коллективного договора с разделом «Условия и охрана труда» </w:t>
            </w:r>
          </w:p>
        </w:tc>
        <w:tc>
          <w:tcPr>
            <w:tcW w:type="dxa" w:w="329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1056"/>
          <w:cantSplit w:val="tru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с учетом трехлетней периодичности</w:t>
            </w:r>
            <w:r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1410"/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>Удельный вес руководителей и специалистов, обученных по охране труда, от общего количества подлежащих обучению</w:t>
            </w:r>
          </w:p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  <w:tr>
        <w:trPr>
          <w:trHeight w:hRule="atLeast" w:val="585"/>
          <w:cantSplit w:val="fals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274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от общего количества подлежащих прохождению периодического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10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0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 xml:space="preserve">медицинского осмотра  </w:t>
            </w:r>
          </w:p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type="dxa" w:w="329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9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</w:tr>
      <w:tr>
        <w:trPr>
          <w:trHeight w:hRule="atLeast" w:val="1136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Наличие нормативных правовых актов, содержащих требования охраны труда  в соответствии со спецификой своей деятельности </w:t>
            </w:r>
          </w:p>
        </w:tc>
        <w:tc>
          <w:tcPr>
            <w:tcW w:type="dxa" w:w="329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в полном объеме</w:t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частично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96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3/</w:t>
            </w:r>
            <w:r>
              <w:rPr>
                <w:sz w:val="28"/>
                <w:szCs w:val="28"/>
              </w:rPr>
              <w:t>0</w:t>
            </w:r>
          </w:p>
        </w:tc>
      </w:tr>
      <w:tr>
        <w:trPr>
          <w:trHeight w:hRule="atLeast" w:val="517"/>
          <w:cantSplit w:val="tru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>
              <w:rPr>
                <w:sz w:val="28"/>
                <w:szCs w:val="28"/>
              </w:rPr>
              <w:t xml:space="preserve">Кч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>
        <w:trPr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>
        <w:trPr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438"/>
          <w:cantSplit w:val="fals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 xml:space="preserve">Материальные затраты на мероприятия по охране труда, всего (тыс. руб.) </w:t>
            </w:r>
          </w:p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запланировано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bottom"/>
          </w:tcPr>
          <w:p>
            <w:pPr>
              <w:pStyle w:val="style21"/>
              <w:jc w:val="center"/>
            </w:pPr>
            <w:r>
              <w:rPr>
                <w:sz w:val="16"/>
                <w:szCs w:val="16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/0</w:t>
            </w:r>
          </w:p>
        </w:tc>
      </w:tr>
      <w:tr>
        <w:trPr>
          <w:trHeight w:hRule="atLeast" w:val="425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фактически израсходовано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337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990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Количество рабочих мест, на которых проведена оценка условий труда (специальная оценка условий труда, аттестация по условиям труда с учетом пятилетней периодичности), всего рабочих мест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</w:tr>
      <w:tr>
        <w:trPr>
          <w:trHeight w:hRule="atLeast" w:val="416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Удельный вес рабочих мест, на которых проведена оценка условий труда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</w:tbl>
    <w:p>
      <w:pPr>
        <w:sectPr>
          <w:type w:val="nextPage"/>
          <w:pgSz w:h="16838" w:w="11906"/>
          <w:pgMar w:bottom="1134" w:footer="0" w:gutter="0" w:header="0" w:left="1418" w:right="851" w:top="561"/>
          <w:pgNumType w:fmt="decimal"/>
          <w:formProt w:val="false"/>
          <w:titlePg/>
          <w:textDirection w:val="lrTb"/>
          <w:docGrid w:charSpace="0" w:linePitch="360" w:type="default"/>
        </w:sectPr>
        <w:pStyle w:val="style0"/>
      </w:pPr>
      <w:r>
        <w:rPr/>
      </w:r>
    </w:p>
    <w:p>
      <w:pPr>
        <w:sectPr>
          <w:headerReference r:id="rId2" w:type="default"/>
          <w:type w:val="nextPage"/>
          <w:pgSz w:h="16838" w:w="11906"/>
          <w:pgMar w:bottom="657" w:footer="0" w:gutter="0" w:header="709" w:left="1418" w:right="851" w:top="1134"/>
          <w:pgNumType w:fmt="decimal"/>
          <w:formProt w:val="false"/>
          <w:textDirection w:val="lrTb"/>
          <w:docGrid w:charSpace="0" w:linePitch="360" w:type="default"/>
        </w:sectPr>
      </w:pPr>
    </w:p>
    <w:tbl>
      <w:tblPr>
        <w:jc w:val="left"/>
        <w:tblInd w:type="dxa" w:w="10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77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pageBreakBefore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763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20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занятых на рабочих местах с условиями труда, не соответствующими государственным нормативным требованиям охраны труда,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чел.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127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Участие в смотрах-конкурсах муни-ципального образования на лучшую постановку работы по охране труда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15/0</w:t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  <w:p>
            <w:pPr>
              <w:pStyle w:val="style21"/>
              <w:jc w:val="both"/>
            </w:pPr>
            <w:r>
              <w:rPr>
                <w:sz w:val="28"/>
                <w:szCs w:val="28"/>
              </w:rPr>
              <w:t>получение скидки</w:t>
            </w:r>
          </w:p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10/0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-10/0</w:t>
            </w:r>
          </w:p>
        </w:tc>
      </w:tr>
    </w:tbl>
    <w:p>
      <w:pPr>
        <w:pStyle w:val="style21"/>
      </w:pPr>
      <w:r>
        <w:rPr>
          <w:sz w:val="28"/>
          <w:szCs w:val="28"/>
        </w:rPr>
      </w:r>
    </w:p>
    <w:p>
      <w:pPr>
        <w:pStyle w:val="style0"/>
        <w:widowControl w:val="false"/>
        <w:ind w:firstLine="540" w:left="0" w:right="0"/>
        <w:jc w:val="center"/>
      </w:pPr>
      <w:r>
        <w:rPr>
          <w:b/>
          <w:sz w:val="28"/>
          <w:szCs w:val="28"/>
        </w:rPr>
      </w:r>
    </w:p>
    <w:p>
      <w:pPr>
        <w:pStyle w:val="style0"/>
        <w:widowControl w:val="false"/>
        <w:ind w:firstLine="540" w:left="0" w:right="0"/>
        <w:jc w:val="center"/>
      </w:pPr>
      <w:r>
        <w:rPr>
          <w:b/>
          <w:sz w:val="28"/>
          <w:szCs w:val="28"/>
        </w:rPr>
        <w:t>Дополнительные баллы</w:t>
      </w:r>
    </w:p>
    <w:p>
      <w:pPr>
        <w:pStyle w:val="style0"/>
        <w:widowControl w:val="false"/>
        <w:ind w:firstLine="540" w:left="0" w:right="0"/>
        <w:jc w:val="both"/>
      </w:pPr>
      <w:r>
        <w:rPr/>
      </w:r>
    </w:p>
    <w:tbl>
      <w:tblPr>
        <w:jc w:val="left"/>
        <w:tblInd w:type="dxa" w:w="10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4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Внедрение передового опыта</w:t>
            </w:r>
            <w:r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>
              <w:rPr>
                <w:sz w:val="28"/>
                <w:szCs w:val="28"/>
              </w:rPr>
              <w:t xml:space="preserve"> и новой техники)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108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77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pageBreakBefore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105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024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>
      <w:pPr>
        <w:pStyle w:val="style21"/>
      </w:pPr>
      <w:r>
        <w:rPr>
          <w:sz w:val="28"/>
          <w:szCs w:val="28"/>
        </w:rPr>
      </w:r>
    </w:p>
    <w:p>
      <w:pPr>
        <w:pStyle w:val="style21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</w:rPr>
        <w:t>* При выполнении мероприятий, если показатель отчетного года выше показателя предыдущего года, общая оценка увеличивается на 10 баллов, если показатель отчетного года равен показателю предыдущего года, общая оценка увеличивается на 5 баллов, если показатель отчетного года ниже показателя предыдущего года, общая оценка не изменяется (0 баллов), если показатели отчетного и предыдущего года равны нулю – общая оценка уменьшается на              5 баллов.</w:t>
      </w:r>
    </w:p>
    <w:p>
      <w:pPr>
        <w:pStyle w:val="style21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</w:rPr>
        <w:t>** Если показатели отчетного и предыдущего года равны нулю, общая оценка увеличивается на 10 баллов, если показатель отчетного года выше показателя предыдущего года, общая оценка уменьшается на 5 баллов, если показатель отчетного года ниже показателя предыдущего года, общая оценка увеличивается на 5 баллов, если показатели отчетного и предыдущего года равны – общая оценка не изменяется (0 баллов).</w:t>
      </w:r>
    </w:p>
    <w:p>
      <w:pPr>
        <w:pStyle w:val="style21"/>
        <w:spacing w:after="0" w:before="0"/>
        <w:ind w:firstLine="720" w:left="0" w:right="0"/>
        <w:contextualSpacing w:val="false"/>
        <w:jc w:val="both"/>
      </w:pPr>
      <w:r>
        <w:rPr>
          <w:sz w:val="28"/>
          <w:szCs w:val="28"/>
        </w:rPr>
        <w:t>*** Если показатель отчетного года составляет: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менее  55 %              балльная оценка  –  -5;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55 %  до  70 %    балльная оценка  –   5;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70 %  до  85 %    балльная оценка  –  10;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85 %  до  100 %  балльная оценка  –  15.</w:t>
      </w:r>
    </w:p>
    <w:p>
      <w:pPr>
        <w:pStyle w:val="style21"/>
        <w:ind w:firstLine="720" w:left="0" w:right="0"/>
        <w:jc w:val="both"/>
      </w:pPr>
      <w:r>
        <w:rPr>
          <w:sz w:val="28"/>
          <w:szCs w:val="28"/>
        </w:rPr>
      </w:r>
    </w:p>
    <w:p>
      <w:pPr>
        <w:pStyle w:val="style0"/>
        <w:spacing w:line="360" w:lineRule="auto"/>
        <w:jc w:val="both"/>
      </w:pPr>
      <w:r>
        <w:rPr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 xml:space="preserve">Показатель частоты производственного травматизма </w:t>
      </w:r>
      <w:r>
        <w:rPr>
          <w:b/>
          <w:sz w:val="28"/>
          <w:szCs w:val="28"/>
        </w:rPr>
        <w:t xml:space="preserve">(Кч) - </w:t>
      </w:r>
      <w:r>
        <w:rPr>
          <w:sz w:val="28"/>
          <w:szCs w:val="28"/>
        </w:rPr>
        <w:t>количество несчастных случаев, приходящихся в среднем на 1000 работающих.</w:t>
      </w:r>
    </w:p>
    <w:p>
      <w:pPr>
        <w:pStyle w:val="style0"/>
        <w:spacing w:line="360" w:lineRule="auto"/>
        <w:jc w:val="both"/>
      </w:pPr>
      <w:r>
        <w:rPr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>Показатель тяжести производственного травматизма</w:t>
      </w:r>
      <w:r>
        <w:rPr>
          <w:rFonts w:eastAsia="MS Mincho"/>
          <w:sz w:val="28"/>
          <w:szCs w:val="28"/>
        </w:rPr>
        <w:t xml:space="preserve"> (Кт) - </w:t>
      </w:r>
      <w:r>
        <w:rPr>
          <w:sz w:val="28"/>
          <w:szCs w:val="28"/>
        </w:rPr>
        <w:t>среднее количество дней нетрудоспособности, приходящихся на один несчастный случай.</w:t>
      </w:r>
    </w:p>
    <w:sectPr>
      <w:headerReference r:id="rId3" w:type="default"/>
      <w:type w:val="nextPage"/>
      <w:pgSz w:h="16838" w:w="11906"/>
      <w:pgMar w:bottom="657" w:footer="0" w:gutter="0" w:header="709" w:left="1418" w:right="851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Tahoma">
    <w:charset w:val="80"/>
    <w:family w:val="roman"/>
    <w:pitch w:val="variable"/>
  </w:font>
  <w:font w:name="Arial">
    <w:charset w:val="8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Style w:val="style16"/>
      </w:rPr>
      <w:fldChar w:fldCharType="begin"/>
    </w:r>
    <w:r>
      <w:instrText> PAGE </w:instrText>
    </w:r>
    <w:r>
      <w:fldChar w:fldCharType="separate"/>
    </w:r>
    <w:r/>
    <w:r>
      <w:fldChar w:fldCharType="end"/>
    </w:r>
    <w:pStyle w:val="style25"/>
    <w:top w:val="none"/>
    <w:left w:val="none"/>
    <w:bottom w:val="none"/>
    <w:insideH w:val="none"/>
    <w:right w:val="none"/>
    <w:insideV w:val="none"/>
    <w:pPr/>
  </w:p>
  <w:p>
    <w:r>
      <w:rPr>
        <w:rStyle w:val="style16"/>
      </w:rPr>
      <w:fldChar w:fldCharType="begin"/>
    </w:r>
    <w:r>
      <w:instrText> PAGE </w:instrText>
    </w:r>
    <w:r>
      <w:fldChar w:fldCharType="separate"/>
    </w:r>
    <w:r/>
    <w:r>
      <w:fldChar w:fldCharType="end"/>
    </w:r>
    <w:pStyle w:val="style25"/>
    <w:top w:val="none"/>
    <w:left w:val="none"/>
    <w:bottom w:val="none"/>
    <w:insideH w:val="none"/>
    <w:right w:val="none"/>
    <w:insideV w:val="none"/>
    <w:pPr/>
  </w:p>
  <w:p>
    <w:pPr>
      <w:pStyle w:val="style25"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Style w:val="style16"/>
      </w:rPr>
      <w:fldChar w:fldCharType="begin"/>
    </w:r>
    <w:r>
      <w:instrText> PAGE </w:instrText>
    </w:r>
    <w:r>
      <w:fldChar w:fldCharType="separate"/>
    </w:r>
    <w:r/>
    <w:r>
      <w:fldChar w:fldCharType="end"/>
    </w:r>
    <w:pStyle w:val="style25"/>
    <w:top w:val="none"/>
    <w:left w:val="none"/>
    <w:bottom w:val="none"/>
    <w:insideH w:val="none"/>
    <w:right w:val="none"/>
    <w:insideV w:val="none"/>
    <w:pPr/>
  </w:p>
  <w:p>
    <w:r>
      <w:rPr>
        <w:rStyle w:val="style16"/>
      </w:rPr>
      <w:fldChar w:fldCharType="begin"/>
    </w:r>
    <w:r>
      <w:instrText> PAGE </w:instrText>
    </w:r>
    <w:r>
      <w:fldChar w:fldCharType="separate"/>
    </w:r>
    <w:r/>
    <w:r>
      <w:fldChar w:fldCharType="end"/>
    </w:r>
    <w:pStyle w:val="style25"/>
    <w:top w:val="none"/>
    <w:left w:val="none"/>
    <w:bottom w:val="none"/>
    <w:insideH w:val="none"/>
    <w:right w:val="none"/>
    <w:insideV w:val="none"/>
    <w:pPr/>
  </w:p>
  <w:p>
    <w:pPr>
      <w:pStyle w:val="style25"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Текст сноски Знак"/>
    <w:next w:val="style17"/>
    <w:rPr>
      <w:rFonts w:ascii="Calibri" w:eastAsia="Calibri" w:hAnsi="Calibri"/>
      <w:lang w:eastAsia="en-US" w:val="ru-RU"/>
    </w:rPr>
  </w:style>
  <w:style w:styleId="style18" w:type="character">
    <w:name w:val="footnote reference"/>
    <w:next w:val="style18"/>
    <w:rPr>
      <w:vertAlign w:val="superscript"/>
    </w:rPr>
  </w:style>
  <w:style w:styleId="style19" w:type="character">
    <w:name w:val="Текст выноски Знак"/>
    <w:basedOn w:val="style15"/>
    <w:next w:val="style19"/>
    <w:rPr>
      <w:rFonts w:ascii="Tahoma" w:cs="Tahoma" w:hAnsi="Tahoma"/>
      <w:sz w:val="16"/>
      <w:szCs w:val="16"/>
    </w:rPr>
  </w:style>
  <w:style w:styleId="style20" w:type="paragraph">
    <w:name w:val="Заголовок"/>
    <w:basedOn w:val="style0"/>
    <w:next w:val="style21"/>
    <w:pPr>
      <w:keepNext/>
      <w:spacing w:after="120" w:before="240"/>
      <w:contextualSpacing w:val="false"/>
    </w:pPr>
    <w:rPr>
      <w:rFonts w:ascii="Arial" w:cs="unifont" w:eastAsia="Droid Sans Fallback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/>
      <w:contextualSpacing w:val="false"/>
    </w:pPr>
    <w:rPr/>
  </w:style>
  <w:style w:styleId="style22" w:type="paragraph">
    <w:name w:val="Список"/>
    <w:basedOn w:val="style21"/>
    <w:next w:val="style22"/>
    <w:pPr/>
    <w:rPr>
      <w:rFonts w:cs="unifont"/>
    </w:rPr>
  </w:style>
  <w:style w:styleId="style23" w:type="paragraph">
    <w:name w:val="Название"/>
    <w:basedOn w:val="style0"/>
    <w:next w:val="style23"/>
    <w:pPr>
      <w:suppressLineNumbers/>
      <w:spacing w:after="120" w:before="120"/>
      <w:contextualSpacing w:val="false"/>
    </w:pPr>
    <w:rPr>
      <w:rFonts w:cs="unifont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unifont"/>
    </w:rPr>
  </w:style>
  <w:style w:styleId="style25" w:type="paragraph">
    <w:name w:val="Верхний колонтитул"/>
    <w:basedOn w:val="style0"/>
    <w:next w:val="style25"/>
    <w:pPr>
      <w:tabs>
        <w:tab w:leader="none" w:pos="4677" w:val="center"/>
        <w:tab w:leader="none" w:pos="9355" w:val="right"/>
      </w:tabs>
    </w:pPr>
    <w:rPr/>
  </w:style>
  <w:style w:styleId="style26" w:type="paragraph">
    <w:name w:val="footnote text"/>
    <w:basedOn w:val="style0"/>
    <w:next w:val="style26"/>
    <w:pPr>
      <w:spacing w:after="200" w:before="0" w:line="276" w:lineRule="auto"/>
      <w:contextualSpacing w:val="false"/>
    </w:pPr>
    <w:rPr>
      <w:rFonts w:ascii="Calibri" w:eastAsia="Calibri" w:hAnsi="Calibri"/>
      <w:sz w:val="20"/>
      <w:szCs w:val="20"/>
      <w:lang w:eastAsia="en-US" w:val="ru-RU"/>
    </w:rPr>
  </w:style>
  <w:style w:styleId="style27" w:type="paragraph">
    <w:name w:val="Balloon Text"/>
    <w:basedOn w:val="style0"/>
    <w:next w:val="style27"/>
    <w:pPr/>
    <w:rPr>
      <w:rFonts w:ascii="Tahoma" w:cs="Tahoma" w:hAnsi="Tahoma"/>
      <w:sz w:val="16"/>
      <w:szCs w:val="16"/>
    </w:rPr>
  </w:style>
  <w:style w:styleId="style28" w:type="paragraph">
    <w:name w:val="Содержимое врезки"/>
    <w:basedOn w:val="style21"/>
    <w:next w:val="style28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2014-10-20T05:52:00.00Z</dcterms:created>
  <dc:creator>APKUser</dc:creator>
  <cp:lastModifiedBy>Antonova_TE</cp:lastModifiedBy>
  <cp:lastPrinted>2014-10-20T05:56:00.00Z</cp:lastPrinted>
  <dcterms:modified xsi:type="dcterms:W3CDTF">2014-10-23T06:21:00.00Z</dcterms:modified>
  <cp:revision>5</cp:revision>
  <dc:title>Приложение № 1</dc:title>
</cp:coreProperties>
</file>